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5544" w14:textId="3205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"Рудныйсоколовстрой"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марта 2026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"Рудныйсоколовстрой" на следующие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0,0050 га, в целях прокладки и эксплуатации сетей связи, по адресу: город Рудный, улица Топоркова, район дома № 66;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0,0057 га, в целях прокладки и эксплуатации линии электропередачи, по адресу: город Рудный, улица Топоркова, район дома № 66;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0,0107 га, в целях прокладки и эксплуатации сетей водоснабжения, по адресу: город Рудный, улица Топоркова, район дома № 66;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0,0144 га, в целях прокладки и эксплуатации сетей канализации, по адресу: город Рудный, улица Топоркова, район дома № 66.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