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cb0e" w14:textId="0d1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арендной платы за использование памятников истории и культуры местного значения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марта 2026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арендной платы за использование памятников истории и культуры местного значения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 и распространяется на отношения возникшие с 19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арендной платы за использование памятников истории и культуры местного значения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арендной платы в месячных расчетных показателях за 1 квадратный метр (в месяц)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памятников истории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градостроительства и архитектуры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археологии, ансамбли и комплексы, сакральные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арендной платы за использование памятников истории и культуры, находящихся в государственной собственности вычисляются путем умножения ставки арендной платы на количество арендуемой площади в квадратных метрах.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арендной платы определяются с учетом категории городов и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областного значения* - населенные пункты, являющиеся крупными экономическими и культурными центрами, имеющие развитую производственную и социальную инфраструктуру и численность населения более 50 тысяч человек;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районного значения* - населенные пункты, на территории которых имеются промышленные предприятия, коммунальное хозяйство, государственный жилищный фонд, развитая сеть организаций образования и здравоохранения, культурно-просветительных и торговых объектов, с численностью населения не менее 10 тысяч человек;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поселки* - населенные пункты с численностью населения не менее 3 тысяч человек.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поселкам также приравниваются населенные пункты, расположенные в местности, имеющей лечебное значение, с численностью населения не менее 2 тысяч человек, из которых число приезжающих ежегодно для лечения и отдыха составляет не менее половины. К ним относятся также дачные поселки, являющиеся местами летнего отдыха граждан, в которых не менее 25 процентов взрослого населения постоянно занимается сельским хозяйством;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села* – населенные пункты с численностью населения не менее 50 человек.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