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357" w14:textId="420e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на 2026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мая 2026 года № 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на 2026 год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копий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офицального опубликования и распространяется на правоотношения, возникшие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___2026 года №_____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на 2026 год по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Эколого-биологическое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Художественное-эстетическое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