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4206" w14:textId="ae74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поощрения, видов, а также размера денежного вознаграждения граждан, участвующих в профилактике правонарушений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июня 2026 года № 103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виды, а также размер денежного вознаграждения граждан, участвующих в профилактике правонарушений в Кызылординской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июня 2026 года № 103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а также размер денежного вознаграждения граждан, участвующих в профилактике правонарушений Кызылординской области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Объявление благодарности.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Награждение грамотой.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денежного вознаграждения.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вознаграждение выплачивается в размере, не превышающем 10-кратного месячного расчетного показателя.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на обучение по образовательным и повышающим квалификацию программам.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представлений о поощрении в организации,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предложений о награждении государственной наградой и почетным званием для лиц, внесших значительный вклад в профилактику правонарушений.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вправе применять иные меры поощрения граждан, участвующих в профилактике правонарушений.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