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c4da15" w14:textId="5c4da1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постановления акимата Карагандинской области от 17 марта 2026 года № 18/03 "Об определении видов и порядка поощрений, а также размера денежного вознаграждения граждан, участвующих в профилактике правонарушений в Карагандинской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Карагандинской области от 10 июля 2026 года № 43/03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правовых актах</w:t>
      </w:r>
      <w:r>
        <w:rPr>
          <w:rFonts w:ascii="Times New Roman"/>
          <w:b w:val="false"/>
          <w:i w:val="false"/>
          <w:color w:val="000000"/>
          <w:sz w:val="28"/>
        </w:rPr>
        <w:t>" акимат Карагандинской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Карагандинской области от 17 марта 2026 года № 18/03 "Об определении видов и порядка поощрений, а также размера денежного вознаграждения граждан, участвующих в профилактике правонарушений в Карагандинской области".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Карагандинской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Булекпаев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