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ef94" w14:textId="07be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на субсидирование развития производства приоритетных культур, в том числе многолетних насаждений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 апреля 2026 года № 22/01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приоритетных культур на субсидирование развития производства приоритетных культур, в том числе многолетних насаждений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субсидии приоритетных культур на субсидирование развития производства приоритетных культур, в том числе многолетних насаждений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Подсолнечник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ЛҰн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11 892 365,8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