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5956" w14:textId="3b45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формирования территории участков недр, предоставляемых на основании аукциона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15 июля 2026 года № 356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221-1 Кодекса Республики Казахстан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формирования территории участков недр, предоставляемых на основании аукциона.</w:t>
      </w:r>
    </w:p>
    <w:bookmarkEnd w:id="1"/>
    <w:bookmarkStart w:name="z6" w:id="2"/>
    <w:p>
      <w:pPr>
        <w:spacing w:after="0"/>
        <w:ind w:left="0"/>
        <w:jc w:val="both"/>
      </w:pPr>
      <w:r>
        <w:rPr>
          <w:rFonts w:ascii="Times New Roman"/>
          <w:b w:val="false"/>
          <w:i w:val="false"/>
          <w:color w:val="000000"/>
          <w:sz w:val="28"/>
        </w:rPr>
        <w:t>
      2. Комитету геологии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промышленности и строительства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промышленности и</w:t>
            </w:r>
            <w:r>
              <w:br/>
            </w:r>
            <w:r>
              <w:rPr>
                <w:rFonts w:ascii="Times New Roman"/>
                <w:b w:val="false"/>
                <w:i w:val="false"/>
                <w:color w:val="000000"/>
                <w:sz w:val="20"/>
              </w:rPr>
              <w:t>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356</w:t>
            </w:r>
          </w:p>
        </w:tc>
      </w:tr>
    </w:tbl>
    <w:bookmarkStart w:name="z15" w:id="9"/>
    <w:p>
      <w:pPr>
        <w:spacing w:after="0"/>
        <w:ind w:left="0"/>
        <w:jc w:val="left"/>
      </w:pPr>
      <w:r>
        <w:rPr>
          <w:rFonts w:ascii="Times New Roman"/>
          <w:b/>
          <w:i w:val="false"/>
          <w:color w:val="000000"/>
        </w:rPr>
        <w:t xml:space="preserve"> Порядок формирования территории участков недр, предоставляемых на основании аукциона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Порядок формирования территории участков недр, предоставляемых на основании аукциона (далее - Порядок)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221-1 Кодекса Республики Казахстан "О недрах и недропользовании" (далее - Кодекс) и определяет порядок формирования территории участков недр, предоставляемых на основании аукциона.</w:t>
      </w:r>
    </w:p>
    <w:bookmarkEnd w:id="11"/>
    <w:bookmarkStart w:name="z18" w:id="12"/>
    <w:p>
      <w:pPr>
        <w:spacing w:after="0"/>
        <w:ind w:left="0"/>
        <w:jc w:val="both"/>
      </w:pPr>
      <w:r>
        <w:rPr>
          <w:rFonts w:ascii="Times New Roman"/>
          <w:b w:val="false"/>
          <w:i w:val="false"/>
          <w:color w:val="000000"/>
          <w:sz w:val="28"/>
        </w:rPr>
        <w:t>
      2. На основании аукциона предоставляются следующие участки недр для проведения операций по разведке или добыче твердых полезных ископаемых, за исключением общераспространенных полезных ископаемых и урана:</w:t>
      </w:r>
    </w:p>
    <w:bookmarkEnd w:id="12"/>
    <w:bookmarkStart w:name="z19" w:id="13"/>
    <w:p>
      <w:pPr>
        <w:spacing w:after="0"/>
        <w:ind w:left="0"/>
        <w:jc w:val="both"/>
      </w:pPr>
      <w:r>
        <w:rPr>
          <w:rFonts w:ascii="Times New Roman"/>
          <w:b w:val="false"/>
          <w:i w:val="false"/>
          <w:color w:val="000000"/>
          <w:sz w:val="28"/>
        </w:rPr>
        <w:t xml:space="preserve">
      1) на добычу твердых полезных ископаемых по участкам недр, содержащим запасы и (или) ресурсы твердых полезных ископаемых, за исключением общераспространенных полезных ископаемых и урана, включенные в государственный учет полезных ископаемых и свободные от проведения операций по недропользованию, предусмотренных подпунктами 2), 3) и 4) </w:t>
      </w:r>
      <w:r>
        <w:rPr>
          <w:rFonts w:ascii="Times New Roman"/>
          <w:b w:val="false"/>
          <w:i w:val="false"/>
          <w:color w:val="000000"/>
          <w:sz w:val="28"/>
        </w:rPr>
        <w:t>статьи 22</w:t>
      </w:r>
      <w:r>
        <w:rPr>
          <w:rFonts w:ascii="Times New Roman"/>
          <w:b w:val="false"/>
          <w:i w:val="false"/>
          <w:color w:val="000000"/>
          <w:sz w:val="28"/>
        </w:rPr>
        <w:t xml:space="preserve"> Кодекса;</w:t>
      </w:r>
    </w:p>
    <w:bookmarkEnd w:id="13"/>
    <w:bookmarkStart w:name="z20" w:id="14"/>
    <w:p>
      <w:pPr>
        <w:spacing w:after="0"/>
        <w:ind w:left="0"/>
        <w:jc w:val="both"/>
      </w:pPr>
      <w:r>
        <w:rPr>
          <w:rFonts w:ascii="Times New Roman"/>
          <w:b w:val="false"/>
          <w:i w:val="false"/>
          <w:color w:val="000000"/>
          <w:sz w:val="28"/>
        </w:rPr>
        <w:t>
      2) на разведку твердых полезных ископаемых по участкам недр с выявленными перспективами по результатам государственного геологического изучения недр;</w:t>
      </w:r>
    </w:p>
    <w:bookmarkEnd w:id="14"/>
    <w:bookmarkStart w:name="z21" w:id="15"/>
    <w:p>
      <w:pPr>
        <w:spacing w:after="0"/>
        <w:ind w:left="0"/>
        <w:jc w:val="both"/>
      </w:pPr>
      <w:r>
        <w:rPr>
          <w:rFonts w:ascii="Times New Roman"/>
          <w:b w:val="false"/>
          <w:i w:val="false"/>
          <w:color w:val="000000"/>
          <w:sz w:val="28"/>
        </w:rPr>
        <w:t>
      3) на разведку твердых полезных ископаемых по территориям контрактов на разведку, совмещенную разведку и добычу твердых полезных ископаемых, признанных недействительными, непродленными или досрочно прекращенными, за исключением территорий, предусмотренных подпунктом 1) настоящего пункта.</w:t>
      </w:r>
    </w:p>
    <w:bookmarkEnd w:id="15"/>
    <w:bookmarkStart w:name="z22" w:id="16"/>
    <w:p>
      <w:pPr>
        <w:spacing w:after="0"/>
        <w:ind w:left="0"/>
        <w:jc w:val="both"/>
      </w:pPr>
      <w:r>
        <w:rPr>
          <w:rFonts w:ascii="Times New Roman"/>
          <w:b w:val="false"/>
          <w:i w:val="false"/>
          <w:color w:val="000000"/>
          <w:sz w:val="28"/>
        </w:rPr>
        <w:t>
      3. Формирование участков недр осуществляется национальным оператором в области геологии с соблюдением принципов прозрачности процедур и равного доступа.</w:t>
      </w:r>
    </w:p>
    <w:bookmarkEnd w:id="16"/>
    <w:bookmarkStart w:name="z23" w:id="17"/>
    <w:p>
      <w:pPr>
        <w:spacing w:after="0"/>
        <w:ind w:left="0"/>
        <w:jc w:val="left"/>
      </w:pPr>
      <w:r>
        <w:rPr>
          <w:rFonts w:ascii="Times New Roman"/>
          <w:b/>
          <w:i w:val="false"/>
          <w:color w:val="000000"/>
        </w:rPr>
        <w:t xml:space="preserve"> Глава 2. Формирование участков недр для добычи твердых полезных ископаемых, за исключением общераспространенных полезных ископаемых и урана</w:t>
      </w:r>
    </w:p>
    <w:bookmarkEnd w:id="17"/>
    <w:bookmarkStart w:name="z24" w:id="18"/>
    <w:p>
      <w:pPr>
        <w:spacing w:after="0"/>
        <w:ind w:left="0"/>
        <w:jc w:val="both"/>
      </w:pPr>
      <w:r>
        <w:rPr>
          <w:rFonts w:ascii="Times New Roman"/>
          <w:b w:val="false"/>
          <w:i w:val="false"/>
          <w:color w:val="000000"/>
          <w:sz w:val="28"/>
        </w:rPr>
        <w:t>
      4. Участок недр для добычи твердых полезных ископаемых, за исключением общераспространенных полезных ископаемых и урана формируется при:</w:t>
      </w:r>
    </w:p>
    <w:bookmarkEnd w:id="18"/>
    <w:bookmarkStart w:name="z25" w:id="19"/>
    <w:p>
      <w:pPr>
        <w:spacing w:after="0"/>
        <w:ind w:left="0"/>
        <w:jc w:val="both"/>
      </w:pPr>
      <w:r>
        <w:rPr>
          <w:rFonts w:ascii="Times New Roman"/>
          <w:b w:val="false"/>
          <w:i w:val="false"/>
          <w:color w:val="000000"/>
          <w:sz w:val="28"/>
        </w:rPr>
        <w:t>
      1) наличии запасов и (или) ресурсов твердых полезных ископаемых в государственном учете полезных ископаемых;</w:t>
      </w:r>
    </w:p>
    <w:bookmarkEnd w:id="19"/>
    <w:bookmarkStart w:name="z26" w:id="20"/>
    <w:p>
      <w:pPr>
        <w:spacing w:after="0"/>
        <w:ind w:left="0"/>
        <w:jc w:val="both"/>
      </w:pPr>
      <w:r>
        <w:rPr>
          <w:rFonts w:ascii="Times New Roman"/>
          <w:b w:val="false"/>
          <w:i w:val="false"/>
          <w:color w:val="000000"/>
          <w:sz w:val="28"/>
        </w:rPr>
        <w:t>
      2) отсутствии законодательных ограничений и обременений, препятствующих предоставлению участка для проведения операций по добыче твердых полезных ископаемых.</w:t>
      </w:r>
    </w:p>
    <w:bookmarkEnd w:id="20"/>
    <w:bookmarkStart w:name="z27" w:id="21"/>
    <w:p>
      <w:pPr>
        <w:spacing w:after="0"/>
        <w:ind w:left="0"/>
        <w:jc w:val="both"/>
      </w:pPr>
      <w:r>
        <w:rPr>
          <w:rFonts w:ascii="Times New Roman"/>
          <w:b w:val="false"/>
          <w:i w:val="false"/>
          <w:color w:val="000000"/>
          <w:sz w:val="28"/>
        </w:rPr>
        <w:t>
      5. Границы участка недр для добычи твердых полезных ископаемых, за исключением общераспространенных полезных ископаемых и урана определяются с учетом границ месторождения, контуров утвержденных запасов.</w:t>
      </w:r>
    </w:p>
    <w:bookmarkEnd w:id="21"/>
    <w:bookmarkStart w:name="z28" w:id="22"/>
    <w:p>
      <w:pPr>
        <w:spacing w:after="0"/>
        <w:ind w:left="0"/>
        <w:jc w:val="both"/>
      </w:pPr>
      <w:r>
        <w:rPr>
          <w:rFonts w:ascii="Times New Roman"/>
          <w:b w:val="false"/>
          <w:i w:val="false"/>
          <w:color w:val="000000"/>
          <w:sz w:val="28"/>
        </w:rPr>
        <w:t>
      6. Внешние границы территории участка недр для проведения операций по добыче полезных ископаемых должны образовывать прямоугольник. Если природные особенности или границы расположенного рядом другого участка недр, предоставленного для проведения операций по недропользованию, не позволяют определить внешние границы территории соответствующего участка добычи в форме прямоугольника, территория такого участка недр может иметь форму четырехугольника, хотя бы две противоположные стороны которого должны быть параллельны друг другу.</w:t>
      </w:r>
    </w:p>
    <w:bookmarkEnd w:id="22"/>
    <w:bookmarkStart w:name="z29" w:id="23"/>
    <w:p>
      <w:pPr>
        <w:spacing w:after="0"/>
        <w:ind w:left="0"/>
        <w:jc w:val="both"/>
      </w:pPr>
      <w:r>
        <w:rPr>
          <w:rFonts w:ascii="Times New Roman"/>
          <w:b w:val="false"/>
          <w:i w:val="false"/>
          <w:color w:val="000000"/>
          <w:sz w:val="28"/>
        </w:rPr>
        <w:t>
      7. При невозможности определения внешних границ территории участка добычи твердых полезных ископаемых в соответствии с указанными требованиями они могут образовывать многоугольник с наименее возможным количеством углов.</w:t>
      </w:r>
    </w:p>
    <w:bookmarkEnd w:id="23"/>
    <w:bookmarkStart w:name="z30" w:id="24"/>
    <w:p>
      <w:pPr>
        <w:spacing w:after="0"/>
        <w:ind w:left="0"/>
        <w:jc w:val="left"/>
      </w:pPr>
      <w:r>
        <w:rPr>
          <w:rFonts w:ascii="Times New Roman"/>
          <w:b/>
          <w:i w:val="false"/>
          <w:color w:val="000000"/>
        </w:rPr>
        <w:t xml:space="preserve"> Глава 3. Формирование участков недр для разведки твердых полезных ископаемых с выявленными перспективами по результатам государственного геологического изучения недр</w:t>
      </w:r>
    </w:p>
    <w:bookmarkEnd w:id="24"/>
    <w:bookmarkStart w:name="z31" w:id="25"/>
    <w:p>
      <w:pPr>
        <w:spacing w:after="0"/>
        <w:ind w:left="0"/>
        <w:jc w:val="both"/>
      </w:pPr>
      <w:r>
        <w:rPr>
          <w:rFonts w:ascii="Times New Roman"/>
          <w:b w:val="false"/>
          <w:i w:val="false"/>
          <w:color w:val="000000"/>
          <w:sz w:val="28"/>
        </w:rPr>
        <w:t>
      8. Участок недр для разведки твердых полезных ископаемых формируется на основании материалов государственного геологического изучения недр. Выявленные перспективные участки с наличием ресурсов твердых полезных ископаемых подтверждаются геологическими и геофизическими материалами.</w:t>
      </w:r>
    </w:p>
    <w:bookmarkEnd w:id="25"/>
    <w:bookmarkStart w:name="z32" w:id="26"/>
    <w:p>
      <w:pPr>
        <w:spacing w:after="0"/>
        <w:ind w:left="0"/>
        <w:jc w:val="both"/>
      </w:pPr>
      <w:r>
        <w:rPr>
          <w:rFonts w:ascii="Times New Roman"/>
          <w:b w:val="false"/>
          <w:i w:val="false"/>
          <w:color w:val="000000"/>
          <w:sz w:val="28"/>
        </w:rPr>
        <w:t>
      9. Формирование границ осуществляется с учетом геологической структуры, без искусственного дробления перспективных площадей и без пересечения с действующими лицензиями и контрактами на недропользование.</w:t>
      </w:r>
    </w:p>
    <w:bookmarkEnd w:id="26"/>
    <w:bookmarkStart w:name="z33" w:id="27"/>
    <w:p>
      <w:pPr>
        <w:spacing w:after="0"/>
        <w:ind w:left="0"/>
        <w:jc w:val="left"/>
      </w:pPr>
      <w:r>
        <w:rPr>
          <w:rFonts w:ascii="Times New Roman"/>
          <w:b/>
          <w:i w:val="false"/>
          <w:color w:val="000000"/>
        </w:rPr>
        <w:t xml:space="preserve"> Глава 4. Формирование участков недр на разведку по территориям контрактов на разведку, совмещенную разведку и добычу твердых полезных ископаемых, признанных недействительными, непродленными или досрочно прекращенными</w:t>
      </w:r>
    </w:p>
    <w:bookmarkEnd w:id="27"/>
    <w:bookmarkStart w:name="z34" w:id="28"/>
    <w:p>
      <w:pPr>
        <w:spacing w:after="0"/>
        <w:ind w:left="0"/>
        <w:jc w:val="both"/>
      </w:pPr>
      <w:r>
        <w:rPr>
          <w:rFonts w:ascii="Times New Roman"/>
          <w:b w:val="false"/>
          <w:i w:val="false"/>
          <w:color w:val="000000"/>
          <w:sz w:val="28"/>
        </w:rPr>
        <w:t>
      10. Участок недр на разведку твердых полезных ископаемых, за исключением общераспространенных полезных ископаемых и урана, формируется после прекращения права недропользования на разведку, совмещенную разведку и добычу твердых полезных ископаемых.</w:t>
      </w:r>
    </w:p>
    <w:bookmarkEnd w:id="28"/>
    <w:bookmarkStart w:name="z35" w:id="29"/>
    <w:p>
      <w:pPr>
        <w:spacing w:after="0"/>
        <w:ind w:left="0"/>
        <w:jc w:val="both"/>
      </w:pPr>
      <w:r>
        <w:rPr>
          <w:rFonts w:ascii="Times New Roman"/>
          <w:b w:val="false"/>
          <w:i w:val="false"/>
          <w:color w:val="000000"/>
          <w:sz w:val="28"/>
        </w:rPr>
        <w:t>
      Формирование перечня участков недр на разведку твердых полезных ископаемых, за исключением общераспространенных полезных ископаемых, национальным оператором в области геологии осуществляется в течение 10 рабочих дней после предоставления информации уполномоченным органом в области твердых полезных ископаемых о прекращении контракта на разведку, совмещенную разведку и добычу твердых полезных ископаемых.</w:t>
      </w:r>
    </w:p>
    <w:bookmarkEnd w:id="29"/>
    <w:bookmarkStart w:name="z36" w:id="30"/>
    <w:p>
      <w:pPr>
        <w:spacing w:after="0"/>
        <w:ind w:left="0"/>
        <w:jc w:val="both"/>
      </w:pPr>
      <w:r>
        <w:rPr>
          <w:rFonts w:ascii="Times New Roman"/>
          <w:b w:val="false"/>
          <w:i w:val="false"/>
          <w:color w:val="000000"/>
          <w:sz w:val="28"/>
        </w:rPr>
        <w:t>
      11. Информация о прекращении права недропользования на разведку, совмещенную разведку и добычу твердых полезных ископаемых должна включать (при наличии) акты ликвидации последствий операций по недропользованию и (при наличии) акты обследования участка разведки (части участка разведки), подтверждающие отсутствие необходимости проведения ликвидационных работ.</w:t>
      </w:r>
    </w:p>
    <w:bookmarkEnd w:id="30"/>
    <w:bookmarkStart w:name="z37" w:id="31"/>
    <w:p>
      <w:pPr>
        <w:spacing w:after="0"/>
        <w:ind w:left="0"/>
        <w:jc w:val="both"/>
      </w:pPr>
      <w:r>
        <w:rPr>
          <w:rFonts w:ascii="Times New Roman"/>
          <w:b w:val="false"/>
          <w:i w:val="false"/>
          <w:color w:val="000000"/>
          <w:sz w:val="28"/>
        </w:rPr>
        <w:t>
      12. При формировании участка учитываются результаты ранее выполненных геологоразведочных работ, выявленные ресурсы или запасы, а также целесообразность корректировки границ, материалы государственного геологического фонда.</w:t>
      </w:r>
    </w:p>
    <w:bookmarkEnd w:id="31"/>
    <w:bookmarkStart w:name="z38" w:id="32"/>
    <w:p>
      <w:pPr>
        <w:spacing w:after="0"/>
        <w:ind w:left="0"/>
        <w:jc w:val="both"/>
      </w:pPr>
      <w:r>
        <w:rPr>
          <w:rFonts w:ascii="Times New Roman"/>
          <w:b w:val="false"/>
          <w:i w:val="false"/>
          <w:color w:val="000000"/>
          <w:sz w:val="28"/>
        </w:rPr>
        <w:t>
      13. Границы участков недр формируются в государственной системе координат в виде замкнутого многоугольника с учетом геологической целостности месторождений.</w:t>
      </w:r>
    </w:p>
    <w:bookmarkEnd w:id="32"/>
    <w:bookmarkStart w:name="z39" w:id="33"/>
    <w:p>
      <w:pPr>
        <w:spacing w:after="0"/>
        <w:ind w:left="0"/>
        <w:jc w:val="left"/>
      </w:pPr>
      <w:r>
        <w:rPr>
          <w:rFonts w:ascii="Times New Roman"/>
          <w:b/>
          <w:i w:val="false"/>
          <w:color w:val="000000"/>
        </w:rPr>
        <w:t xml:space="preserve"> Глава 5. Порядок включения участков в Программу управления государственным фондом недр</w:t>
      </w:r>
    </w:p>
    <w:bookmarkEnd w:id="33"/>
    <w:bookmarkStart w:name="z40" w:id="34"/>
    <w:p>
      <w:pPr>
        <w:spacing w:after="0"/>
        <w:ind w:left="0"/>
        <w:jc w:val="both"/>
      </w:pPr>
      <w:r>
        <w:rPr>
          <w:rFonts w:ascii="Times New Roman"/>
          <w:b w:val="false"/>
          <w:i w:val="false"/>
          <w:color w:val="000000"/>
          <w:sz w:val="28"/>
        </w:rPr>
        <w:t>
      14. Уполномоченный орган в области твердых полезных ископаемых принимает решение о включении участков недр в Программу управления государственным фондом недр (далее - Программа), для предоставления участков на основании аукциона в течение 10 рабочих дней со дня поступления сформированного уполномоченным органом по изучению недр перечня участков недр и материалов геологического, правового и пространственного анализа.</w:t>
      </w:r>
    </w:p>
    <w:bookmarkEnd w:id="34"/>
    <w:bookmarkStart w:name="z41" w:id="35"/>
    <w:p>
      <w:pPr>
        <w:spacing w:after="0"/>
        <w:ind w:left="0"/>
        <w:jc w:val="both"/>
      </w:pPr>
      <w:r>
        <w:rPr>
          <w:rFonts w:ascii="Times New Roman"/>
          <w:b w:val="false"/>
          <w:i w:val="false"/>
          <w:color w:val="000000"/>
          <w:sz w:val="28"/>
        </w:rPr>
        <w:t>
      15. Участки включаются в Программу с обязательным указанием вида права недропользования.</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