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e4d7" w14:textId="907e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взаимодействия Министерства промышленности и строительства Республики Казахстан и Министерства финансов Республики Казахстан по представлению органом государственных доходов сведений, составляющих налоговую тайну и конфиденциальную информацию</w:t>
      </w:r>
    </w:p>
    <w:p>
      <w:pPr>
        <w:spacing w:after="0"/>
        <w:ind w:left="0"/>
        <w:jc w:val="both"/>
      </w:pPr>
      <w:r>
        <w:rPr>
          <w:rFonts w:ascii="Times New Roman"/>
          <w:b w:val="false"/>
          <w:i w:val="false"/>
          <w:color w:val="000000"/>
          <w:sz w:val="28"/>
        </w:rPr>
        <w:t>Совместный приказ Министра промышленности и строительства Республики Казахстан от 30 января 2026 года № 36 и Министра финансов Республики Казахстан от 2 февраля 2026 года № 68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6 статьи 45 Налогового Кодекса Республики Казахстан и подпунктом 3) пункта 3 статьи 19 Кодекса Республики Казахстан "О таможенном регулировании в Республике Казахстан", </w:t>
      </w:r>
      <w:r>
        <w:rPr>
          <w:rFonts w:ascii="Times New Roman"/>
          <w:b/>
          <w:i w:val="false"/>
          <w:color w:val="000000"/>
          <w:sz w:val="28"/>
        </w:rPr>
        <w:t>ПРИКАЗЫВАЕМ</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2.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взаимодействия Министерства промышленности и строительства Республики Казахстан и Министерства финансов Республики Казахстан по представлению органом государственных доходов сведений, составляющих налоговую тайну и конфиденциальную информацию.</w:t>
      </w:r>
    </w:p>
    <w:bookmarkEnd w:id="1"/>
    <w:bookmarkStart w:name="z7" w:id="2"/>
    <w:p>
      <w:pPr>
        <w:spacing w:after="0"/>
        <w:ind w:left="0"/>
        <w:jc w:val="both"/>
      </w:pPr>
      <w:r>
        <w:rPr>
          <w:rFonts w:ascii="Times New Roman"/>
          <w:b w:val="false"/>
          <w:i w:val="false"/>
          <w:color w:val="000000"/>
          <w:sz w:val="28"/>
        </w:rPr>
        <w:t>
      3. Департаменту развития промышленной инфраструктуры и внутристрановой ценности Министерства промышленности и строительства Республики Казахстан и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течении пяти рабочих дней со дня подписания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совместного приказа на интернет-ресурсах Министерства промышленности и строительства Республики Казахстан и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курирующих вице-министров промышленности и строительства Республики Казахстан и финансов Республики Казахстан.</w:t>
      </w:r>
    </w:p>
    <w:bookmarkEnd w:id="5"/>
    <w:bookmarkStart w:name="z11" w:id="6"/>
    <w:p>
      <w:pPr>
        <w:spacing w:after="0"/>
        <w:ind w:left="0"/>
        <w:jc w:val="both"/>
      </w:pPr>
      <w:r>
        <w:rPr>
          <w:rFonts w:ascii="Times New Roman"/>
          <w:b w:val="false"/>
          <w:i w:val="false"/>
          <w:color w:val="000000"/>
          <w:sz w:val="28"/>
        </w:rPr>
        <w:t>
      5. Настоящий совместный приказ вступает в силу со дня его подписания и распространяется на правоотношения, возникшие с 1 января 2026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промышленности 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строительства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2026 года № 36 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68</w:t>
            </w:r>
          </w:p>
        </w:tc>
      </w:tr>
    </w:tbl>
    <w:bookmarkStart w:name="z15" w:id="7"/>
    <w:p>
      <w:pPr>
        <w:spacing w:after="0"/>
        <w:ind w:left="0"/>
        <w:jc w:val="left"/>
      </w:pPr>
      <w:r>
        <w:rPr>
          <w:rFonts w:ascii="Times New Roman"/>
          <w:b/>
          <w:i w:val="false"/>
          <w:color w:val="000000"/>
        </w:rPr>
        <w:t xml:space="preserve"> Правила  </w:t>
      </w:r>
      <w:r>
        <w:br/>
      </w:r>
      <w:r>
        <w:rPr>
          <w:rFonts w:ascii="Times New Roman"/>
          <w:b/>
          <w:i w:val="false"/>
          <w:color w:val="000000"/>
        </w:rPr>
        <w:t>взаимодействия Министерства промышленности и строительства Республики Казахстан и Министерства финансов Республики Казахстан по представлению органом государственных доходов сведений, составляющих налоговую тайну и конфиденциальную информацию</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Правила взаимодействия Министерства промышленности и строительства Республики Казахстан и Министерства финансов Республики Казахстан по представлению органом государственных доходов сведений, составляющих налоговую тайну и конфиденциальную информацию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6 статьи 45 Налогового Кодекса Республики Казахстан и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19 Кодекса Республики Казахстан "О таможенном регулировании в Республике Казахстан".</w:t>
      </w:r>
    </w:p>
    <w:bookmarkEnd w:id="9"/>
    <w:bookmarkStart w:name="z18" w:id="10"/>
    <w:p>
      <w:pPr>
        <w:spacing w:after="0"/>
        <w:ind w:left="0"/>
        <w:jc w:val="both"/>
      </w:pPr>
      <w:r>
        <w:rPr>
          <w:rFonts w:ascii="Times New Roman"/>
          <w:b w:val="false"/>
          <w:i w:val="false"/>
          <w:color w:val="000000"/>
          <w:sz w:val="28"/>
        </w:rPr>
        <w:t>
      2. Настоящие Правила определяют порядок предоставления сведений, составляющих налоговую тайну и конфиденциальную информацию (далее – Сведения) органом государственных доходов (далее – ОГД) Министерству промышленности и строительства Республики Казахстан (далее – Министерство) в целях реализации Министерством функций и задач в части осуществления цифровой верификации включающий сбор и анализ данных из государственных информационных систем, подтверждающих производственную деятельность субъекта предпринимательства в рамках формирования реестра казахстанских товаропроизводителей.</w:t>
      </w:r>
    </w:p>
    <w:bookmarkEnd w:id="10"/>
    <w:bookmarkStart w:name="z19" w:id="11"/>
    <w:p>
      <w:pPr>
        <w:spacing w:after="0"/>
        <w:ind w:left="0"/>
        <w:jc w:val="left"/>
      </w:pPr>
      <w:r>
        <w:rPr>
          <w:rFonts w:ascii="Times New Roman"/>
          <w:b/>
          <w:i w:val="false"/>
          <w:color w:val="000000"/>
        </w:rPr>
        <w:t xml:space="preserve"> Глава 2. Порядок представления Сведений</w:t>
      </w:r>
    </w:p>
    <w:bookmarkEnd w:id="11"/>
    <w:bookmarkStart w:name="z20" w:id="12"/>
    <w:p>
      <w:pPr>
        <w:spacing w:after="0"/>
        <w:ind w:left="0"/>
        <w:jc w:val="both"/>
      </w:pPr>
      <w:r>
        <w:rPr>
          <w:rFonts w:ascii="Times New Roman"/>
          <w:b w:val="false"/>
          <w:i w:val="false"/>
          <w:color w:val="000000"/>
          <w:sz w:val="28"/>
        </w:rPr>
        <w:t>
      3. ОГД представляет в Министерство Сведения о субъектах предпринимательства, зарегистрированных по истечении более 3 (трех) лет со дня постановки на регистрационный учет в ОГД либо учетной регистрации в регистрирующем органе, согласно приложению к настоящему совместному приказу.</w:t>
      </w:r>
    </w:p>
    <w:bookmarkEnd w:id="12"/>
    <w:bookmarkStart w:name="z21" w:id="13"/>
    <w:p>
      <w:pPr>
        <w:spacing w:after="0"/>
        <w:ind w:left="0"/>
        <w:jc w:val="both"/>
      </w:pPr>
      <w:r>
        <w:rPr>
          <w:rFonts w:ascii="Times New Roman"/>
          <w:b w:val="false"/>
          <w:i w:val="false"/>
          <w:color w:val="000000"/>
          <w:sz w:val="28"/>
        </w:rPr>
        <w:t>
      4. Передача сведений осуществляется посредством ETL-процесса с периодичностью ежемесячно.</w:t>
      </w:r>
    </w:p>
    <w:bookmarkEnd w:id="13"/>
    <w:bookmarkStart w:name="z22" w:id="14"/>
    <w:p>
      <w:pPr>
        <w:spacing w:after="0"/>
        <w:ind w:left="0"/>
        <w:jc w:val="left"/>
      </w:pPr>
      <w:r>
        <w:rPr>
          <w:rFonts w:ascii="Times New Roman"/>
          <w:b/>
          <w:i w:val="false"/>
          <w:color w:val="000000"/>
        </w:rPr>
        <w:t xml:space="preserve"> Глава 3. Обеспечение конфиденциальности Сведений</w:t>
      </w:r>
    </w:p>
    <w:bookmarkEnd w:id="14"/>
    <w:bookmarkStart w:name="z23" w:id="15"/>
    <w:p>
      <w:pPr>
        <w:spacing w:after="0"/>
        <w:ind w:left="0"/>
        <w:jc w:val="both"/>
      </w:pPr>
      <w:r>
        <w:rPr>
          <w:rFonts w:ascii="Times New Roman"/>
          <w:b w:val="false"/>
          <w:i w:val="false"/>
          <w:color w:val="000000"/>
          <w:sz w:val="28"/>
        </w:rPr>
        <w:t>
      5. Министерство использует полученные Сведения в рамках настоящего совместного приказа исключительно для выполнения возложенных на него задач и функций в рамках формирования реестра казахстанских товаропроизводителей.</w:t>
      </w:r>
    </w:p>
    <w:bookmarkEnd w:id="15"/>
    <w:bookmarkStart w:name="z24" w:id="16"/>
    <w:p>
      <w:pPr>
        <w:spacing w:after="0"/>
        <w:ind w:left="0"/>
        <w:jc w:val="both"/>
      </w:pPr>
      <w:r>
        <w:rPr>
          <w:rFonts w:ascii="Times New Roman"/>
          <w:b w:val="false"/>
          <w:i w:val="false"/>
          <w:color w:val="000000"/>
          <w:sz w:val="28"/>
        </w:rPr>
        <w:t>
      6. Министерство принимает меры по защите от неправомерного распространения Сведений, полученных в соответствии с настоящим совместным приказом, а также обеспечивает ее защиту в соответствии с законодательством Республики Казахстан.</w:t>
      </w:r>
    </w:p>
    <w:bookmarkEnd w:id="16"/>
    <w:bookmarkStart w:name="z25" w:id="17"/>
    <w:p>
      <w:pPr>
        <w:spacing w:after="0"/>
        <w:ind w:left="0"/>
        <w:jc w:val="both"/>
      </w:pPr>
      <w:r>
        <w:rPr>
          <w:rFonts w:ascii="Times New Roman"/>
          <w:b w:val="false"/>
          <w:i w:val="false"/>
          <w:color w:val="000000"/>
          <w:sz w:val="28"/>
        </w:rPr>
        <w:t>
      7. Должностные лица Министерства, использующие в работе Сведения, полученные в рамках настоящего совместного приказа, не распространяют такие сведения как в период исполнения ими своих обязанностей, так и после завершения их выполнения в соответствии с законодательством Республики Казахстан.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2026 года № 36 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68</w:t>
            </w:r>
          </w:p>
        </w:tc>
      </w:tr>
    </w:tbl>
    <w:bookmarkStart w:name="z27" w:id="18"/>
    <w:p>
      <w:pPr>
        <w:spacing w:after="0"/>
        <w:ind w:left="0"/>
        <w:jc w:val="left"/>
      </w:pPr>
      <w:r>
        <w:rPr>
          <w:rFonts w:ascii="Times New Roman"/>
          <w:b/>
          <w:i w:val="false"/>
          <w:color w:val="000000"/>
        </w:rPr>
        <w:t xml:space="preserve"> Перечень предоставляемых сведений, не составляющих налоговую тайну и конфиденциальную информацию</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Регистрационные данные и данные форм налоговой отчетности (ФНО)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ЮЛ/ИП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казахском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английском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последней регистрации ЮЛ/ИП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последней регистрации ЮЛ/ИП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местонахождения/месту осуществления деятельности ЮЛ/ИП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ЮЛ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СНР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(в разрезе квартала, полугодия,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ФНО 200.00, 910.00, 920.00</w:t>
            </w:r>
          </w:p>
        </w:tc>
      </w:tr>
    </w:tbl>
    <w:bookmarkStart w:name="z28" w:id="19"/>
    <w:p>
      <w:pPr>
        <w:spacing w:after="0"/>
        <w:ind w:left="0"/>
        <w:jc w:val="left"/>
      </w:pPr>
      <w:r>
        <w:rPr>
          <w:rFonts w:ascii="Times New Roman"/>
          <w:b/>
          <w:i w:val="false"/>
          <w:color w:val="000000"/>
        </w:rPr>
        <w:t xml:space="preserve"> Перечень предоставляемых сведений, составляющих налоговую тайну и конфиденциальную информацию</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Регистрационные данные и данные форм налоговой отчетности (ФНО)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УГД местонахождения/месту осуществления деятельности ЮЛ/ИП (у ИП – код УГД по последней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смены адреса по местонахождению/месту осуществления деятельности ЮЛ/ИП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осуществления деятельности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осуществления деятельности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руководителя ЮЛ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СНР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СНР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(первоначальная, очередная, дополнительная, дополнительная по уведомлению, ликвидационная)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ФНО 100.00, 110.00, 150.00, 200.00, 220.00, 240.00, 870.00, 910.00, 911.00, 912.00, 913.00, 920.00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 (доход) субъекта согласно данным налоговой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ФНО 100.00 (совокупный годовой доход), 110.00 (совокупный годовой доход), 150.00 (совокупный годовой доход), 220.00 (совокупный годовой доход), 240.00 (итого доходов, подлежащих налогообложению), 910.00 (доход), 911.00 (доходы индивидуальных предпринимателей), 912.00 (совокупный годовой доход), 913.00 (сумма облагаемого дохода), 920.00 (доход от реализации сельскохозяйственной продукции, продуктов переработки сельскохозяйственной продукции собственного производства, за исключением деятельности по производству, переработке и реализации подакцизных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доход работников (в разрезе квартала, полугодия,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ФНО 200.00 (начисленные доходы физических лиц итого за квартал), 910.00 (начисленные доходы физических лиц итого за полугодие), 920.00 (начисленные доходы физических лиц итого за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негативное воздействие в окружающую среду с указанием одного или нескольких видов специального природопользования (в разрезе квартала,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ФНО 870.00 (с приложением по видам специального природопользования 870.01) при условии заполнения в форме 870.01 видов специального природопользования (выбросы загрязняющих веществ: от стационарных источников; от сжигания попутного и (или) природного газа в факелах; сбросы; размещения отходов производства и потребления; размещения серы)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электронных счет-фактур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А. Общий раздел Графа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А. Общий раздел Графа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на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А. Общий раздел Графа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А. Общий раздел Графа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ЭСФ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А. Общий раздел Графы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 Реквизиты поставщика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структурного подразделения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 Реквизиты поставщика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реорганизованного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 Реквизиты поставщика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 Реквизиты поставщика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 Реквизиты поставщика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 Реквизиты 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структурного подразделения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 Реквизиты 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реорганизованного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 Реквизиты 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 Реквизиты 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 Реквизиты 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 Реквизиты 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 Реквизиты 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D. Реквизиты грузоотправителя и грузополучателя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грузоотправителя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D. Реквизиты грузоотправителя и грузополучателя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грузоотправителя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D. Реквизиты грузоотправителя и грузополучателя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отправки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D. Реквизиты грузоотправителя и грузополучателя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D. Реквизиты грузоотправителя и грузополучателя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грузополучателя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D. Реквизиты грузоотправителя и грузополучателя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D. Реквизиты грузоотправителя и грузополучателя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D. Реквизиты грузоотправителя и грузополучателя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D. Реквизиты грузоотправителя и грузополучателя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на поставку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Е. Договор (контракт)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договора (контракта) на поставку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Е. Договор (контракт)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Е. Договор (контракт)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Е. Договор (контракт)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поставку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F. Реквизиты документов, подтверждающих поставку товаров, работ,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F. Реквизиты документов, подтверждающих поставку товаров, работ,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F. Реквизиты документов, подтверждающих поставку товаров, работ,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G. Данные по товарам, работам, услугам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G. Данные по товарам, работам, услугам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заявления о ввозе товаров и уплате косвенных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Количественная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количественной единице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оборота по реализации (облагаемый/необлагаемый оборот)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 о ввозе товаров и уплате косвенных налогов, сопроводительной накладной на товары, СТ-1 или СТ-KZ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товарной позиции из Декларации на товары или заявления о ввозе товаров и уплате косвенных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товара, работы,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bl>
    <w:bookmarkStart w:name="z29" w:id="20"/>
    <w:p>
      <w:pPr>
        <w:spacing w:after="0"/>
        <w:ind w:left="0"/>
        <w:jc w:val="left"/>
      </w:pPr>
      <w:r>
        <w:rPr>
          <w:rFonts w:ascii="Times New Roman"/>
          <w:b/>
          <w:i w:val="false"/>
          <w:color w:val="000000"/>
        </w:rPr>
        <w:t xml:space="preserve"> Сведения грузовых таможенных деклараций</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 в том числе предварительной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графы ДТ, где содержится информация, в том числе предварительная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перемещения (импорт и (или) экспорт) и двузначный код заявленной процедуры в соответствии с классификатором видов таможенных процедур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1 и 2 Графы 1 "Декларация"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отправителя, место его нахождения; при экспорте – дополнительно УНП (БИН,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Графа 2</w:t>
            </w:r>
          </w:p>
          <w:bookmarkEnd w:id="21"/>
          <w:p>
            <w:pPr>
              <w:spacing w:after="20"/>
              <w:ind w:left="20"/>
              <w:jc w:val="both"/>
            </w:pPr>
            <w:r>
              <w:rPr>
                <w:rFonts w:ascii="Times New Roman"/>
                <w:b w:val="false"/>
                <w:i w:val="false"/>
                <w:color w:val="000000"/>
                <w:sz w:val="20"/>
              </w:rPr>
              <w:t>
"Отправитель/экспортер"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место его нахождения, УНП (БИН,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8 "Получатель"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заключившем (или от имени или по поручению которого заключен) договор, или лице, имеющее право распоряжаться товарами, или лице, являющемся собственником декларируемых товаров, или лице, приобретшем (приобретающим) имущественные права на декларируемые товары: УНП (БИН,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9 "Лицо, ответственное за финансовое урегулирование"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альфа-2 торгующей страны в соответствии с классификатором стран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11 "Торгующая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32 "Товар"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коде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33 "Код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35 "Вес брутто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код и трехзначный код особенности перемещения товаров в соответствии с классификатором особенностей перемещения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1 и 2 Графы 37 "Процедура"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товара. Для товара, перемещаемого в упакованном виде, масса товара с учетом только первичной упаковки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38 "Вес нетто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дополнительной единице измерения, условное обозначение и код дополнительной единицы измерения в соответствии с классификатором единиц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41 "Дополнительные единицы"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42 "Цена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 декларируемого товара в валюте государства-члена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 "Таможенная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стоимость товара в долларах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46 "Статистическая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приведенная под номером 2 - дата выпуска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С</w:t>
            </w:r>
          </w:p>
        </w:tc>
      </w:tr>
    </w:tbl>
    <w:bookmarkStart w:name="z31" w:id="22"/>
    <w:p>
      <w:pPr>
        <w:spacing w:after="0"/>
        <w:ind w:left="0"/>
        <w:jc w:val="both"/>
      </w:pPr>
      <w:r>
        <w:rPr>
          <w:rFonts w:ascii="Times New Roman"/>
          <w:b w:val="false"/>
          <w:i w:val="false"/>
          <w:color w:val="000000"/>
          <w:sz w:val="28"/>
        </w:rPr>
        <w:t>
      Период, за который представляются сведения в соответствии с расчетными периодами цифровой верификации:</w:t>
      </w:r>
    </w:p>
    <w:bookmarkEnd w:id="22"/>
    <w:bookmarkStart w:name="z32" w:id="23"/>
    <w:p>
      <w:pPr>
        <w:spacing w:after="0"/>
        <w:ind w:left="0"/>
        <w:jc w:val="both"/>
      </w:pPr>
      <w:r>
        <w:rPr>
          <w:rFonts w:ascii="Times New Roman"/>
          <w:b w:val="false"/>
          <w:i w:val="false"/>
          <w:color w:val="000000"/>
          <w:sz w:val="28"/>
        </w:rPr>
        <w:t>
      1) расчетный период 1 — календарный год, предыдущий году, в котором осуществляется расчет цифровой верификации;</w:t>
      </w:r>
    </w:p>
    <w:bookmarkEnd w:id="23"/>
    <w:bookmarkStart w:name="z33" w:id="24"/>
    <w:p>
      <w:pPr>
        <w:spacing w:after="0"/>
        <w:ind w:left="0"/>
        <w:jc w:val="both"/>
      </w:pPr>
      <w:r>
        <w:rPr>
          <w:rFonts w:ascii="Times New Roman"/>
          <w:b w:val="false"/>
          <w:i w:val="false"/>
          <w:color w:val="000000"/>
          <w:sz w:val="28"/>
        </w:rPr>
        <w:t>
      2) расчетный период 2 — период с 1 января по 30 сентября (три квартала) календарного года, в котором осуществляется расчет цифровой верификации;</w:t>
      </w:r>
    </w:p>
    <w:bookmarkEnd w:id="24"/>
    <w:bookmarkStart w:name="z34" w:id="25"/>
    <w:p>
      <w:pPr>
        <w:spacing w:after="0"/>
        <w:ind w:left="0"/>
        <w:jc w:val="both"/>
      </w:pPr>
      <w:r>
        <w:rPr>
          <w:rFonts w:ascii="Times New Roman"/>
          <w:b w:val="false"/>
          <w:i w:val="false"/>
          <w:color w:val="000000"/>
          <w:sz w:val="28"/>
        </w:rPr>
        <w:t>
      3) расчетный период 3 — календарный год, предшествующий предыдущему году, в котором осуществляется расчет цифровой верификации;</w:t>
      </w:r>
    </w:p>
    <w:bookmarkEnd w:id="25"/>
    <w:bookmarkStart w:name="z35" w:id="26"/>
    <w:p>
      <w:pPr>
        <w:spacing w:after="0"/>
        <w:ind w:left="0"/>
        <w:jc w:val="both"/>
      </w:pPr>
      <w:r>
        <w:rPr>
          <w:rFonts w:ascii="Times New Roman"/>
          <w:b w:val="false"/>
          <w:i w:val="false"/>
          <w:color w:val="000000"/>
          <w:sz w:val="28"/>
        </w:rPr>
        <w:t>
      4) расчетный период 4 — период с 1 января по 31 декабря (четыре квартала) календарного года, предыдущего году, в котором осуществляется расчет цифровой верификации;</w:t>
      </w:r>
    </w:p>
    <w:bookmarkEnd w:id="26"/>
    <w:bookmarkStart w:name="z36" w:id="27"/>
    <w:p>
      <w:pPr>
        <w:spacing w:after="0"/>
        <w:ind w:left="0"/>
        <w:jc w:val="both"/>
      </w:pPr>
      <w:r>
        <w:rPr>
          <w:rFonts w:ascii="Times New Roman"/>
          <w:b w:val="false"/>
          <w:i w:val="false"/>
          <w:color w:val="000000"/>
          <w:sz w:val="28"/>
        </w:rPr>
        <w:t>
      5) расчетный период 5 — период с 1 января по 31 марта (один квартал) календарного года, в котором осуществляется расчет цифровой верификации;</w:t>
      </w:r>
    </w:p>
    <w:bookmarkEnd w:id="27"/>
    <w:bookmarkStart w:name="z37" w:id="28"/>
    <w:p>
      <w:pPr>
        <w:spacing w:after="0"/>
        <w:ind w:left="0"/>
        <w:jc w:val="both"/>
      </w:pPr>
      <w:r>
        <w:rPr>
          <w:rFonts w:ascii="Times New Roman"/>
          <w:b w:val="false"/>
          <w:i w:val="false"/>
          <w:color w:val="000000"/>
          <w:sz w:val="28"/>
        </w:rPr>
        <w:t>
      6) расчетный период 6 — период с 1 января по 30 июня (два квартала) календарного года, в котором осуществляется расчет цифровой верификации.</w:t>
      </w:r>
    </w:p>
    <w:bookmarkEnd w:id="28"/>
    <w:bookmarkStart w:name="z38" w:id="29"/>
    <w:p>
      <w:pPr>
        <w:spacing w:after="0"/>
        <w:ind w:left="0"/>
        <w:jc w:val="both"/>
      </w:pPr>
      <w:r>
        <w:rPr>
          <w:rFonts w:ascii="Times New Roman"/>
          <w:b w:val="false"/>
          <w:i w:val="false"/>
          <w:color w:val="000000"/>
          <w:sz w:val="28"/>
        </w:rPr>
        <w:t>
      Примечание: расшифровка аббревиатур:</w:t>
      </w:r>
    </w:p>
    <w:bookmarkEnd w:id="29"/>
    <w:bookmarkStart w:name="z39" w:id="30"/>
    <w:p>
      <w:pPr>
        <w:spacing w:after="0"/>
        <w:ind w:left="0"/>
        <w:jc w:val="both"/>
      </w:pPr>
      <w:r>
        <w:rPr>
          <w:rFonts w:ascii="Times New Roman"/>
          <w:b w:val="false"/>
          <w:i w:val="false"/>
          <w:color w:val="000000"/>
          <w:sz w:val="28"/>
        </w:rPr>
        <w:t>
      ФНО – форма налоговой отчетности;</w:t>
      </w:r>
    </w:p>
    <w:bookmarkEnd w:id="30"/>
    <w:bookmarkStart w:name="z40" w:id="31"/>
    <w:p>
      <w:pPr>
        <w:spacing w:after="0"/>
        <w:ind w:left="0"/>
        <w:jc w:val="both"/>
      </w:pPr>
      <w:r>
        <w:rPr>
          <w:rFonts w:ascii="Times New Roman"/>
          <w:b w:val="false"/>
          <w:i w:val="false"/>
          <w:color w:val="000000"/>
          <w:sz w:val="28"/>
        </w:rPr>
        <w:t>
      ИИН – индивидуальный идентификационный номер;</w:t>
      </w:r>
    </w:p>
    <w:bookmarkEnd w:id="31"/>
    <w:bookmarkStart w:name="z41" w:id="32"/>
    <w:p>
      <w:pPr>
        <w:spacing w:after="0"/>
        <w:ind w:left="0"/>
        <w:jc w:val="both"/>
      </w:pPr>
      <w:r>
        <w:rPr>
          <w:rFonts w:ascii="Times New Roman"/>
          <w:b w:val="false"/>
          <w:i w:val="false"/>
          <w:color w:val="000000"/>
          <w:sz w:val="28"/>
        </w:rPr>
        <w:t>
      БИН – бизнес-идентификационный номер;</w:t>
      </w:r>
    </w:p>
    <w:bookmarkEnd w:id="32"/>
    <w:bookmarkStart w:name="z42" w:id="33"/>
    <w:p>
      <w:pPr>
        <w:spacing w:after="0"/>
        <w:ind w:left="0"/>
        <w:jc w:val="both"/>
      </w:pPr>
      <w:r>
        <w:rPr>
          <w:rFonts w:ascii="Times New Roman"/>
          <w:b w:val="false"/>
          <w:i w:val="false"/>
          <w:color w:val="000000"/>
          <w:sz w:val="28"/>
        </w:rPr>
        <w:t>
      ЮЛ – юридическое лицо;</w:t>
      </w:r>
    </w:p>
    <w:bookmarkEnd w:id="33"/>
    <w:bookmarkStart w:name="z43" w:id="34"/>
    <w:p>
      <w:pPr>
        <w:spacing w:after="0"/>
        <w:ind w:left="0"/>
        <w:jc w:val="both"/>
      </w:pPr>
      <w:r>
        <w:rPr>
          <w:rFonts w:ascii="Times New Roman"/>
          <w:b w:val="false"/>
          <w:i w:val="false"/>
          <w:color w:val="000000"/>
          <w:sz w:val="28"/>
        </w:rPr>
        <w:t>
      ИП – индивидуальный предприниматель;</w:t>
      </w:r>
    </w:p>
    <w:bookmarkEnd w:id="34"/>
    <w:bookmarkStart w:name="z44" w:id="35"/>
    <w:p>
      <w:pPr>
        <w:spacing w:after="0"/>
        <w:ind w:left="0"/>
        <w:jc w:val="both"/>
      </w:pPr>
      <w:r>
        <w:rPr>
          <w:rFonts w:ascii="Times New Roman"/>
          <w:b w:val="false"/>
          <w:i w:val="false"/>
          <w:color w:val="000000"/>
          <w:sz w:val="28"/>
        </w:rPr>
        <w:t>
      УГД – управление государственных доходов;</w:t>
      </w:r>
    </w:p>
    <w:bookmarkEnd w:id="35"/>
    <w:bookmarkStart w:name="z45" w:id="36"/>
    <w:p>
      <w:pPr>
        <w:spacing w:after="0"/>
        <w:ind w:left="0"/>
        <w:jc w:val="both"/>
      </w:pPr>
      <w:r>
        <w:rPr>
          <w:rFonts w:ascii="Times New Roman"/>
          <w:b w:val="false"/>
          <w:i w:val="false"/>
          <w:color w:val="000000"/>
          <w:sz w:val="28"/>
        </w:rPr>
        <w:t>
      ОКЭД – общий классификатор видов экономической деятельности;</w:t>
      </w:r>
    </w:p>
    <w:bookmarkEnd w:id="36"/>
    <w:bookmarkStart w:name="z46" w:id="37"/>
    <w:p>
      <w:pPr>
        <w:spacing w:after="0"/>
        <w:ind w:left="0"/>
        <w:jc w:val="both"/>
      </w:pPr>
      <w:r>
        <w:rPr>
          <w:rFonts w:ascii="Times New Roman"/>
          <w:b w:val="false"/>
          <w:i w:val="false"/>
          <w:color w:val="000000"/>
          <w:sz w:val="28"/>
        </w:rPr>
        <w:t>
      СНР – специальный налоговый режим;</w:t>
      </w:r>
    </w:p>
    <w:bookmarkEnd w:id="37"/>
    <w:bookmarkStart w:name="z47" w:id="38"/>
    <w:p>
      <w:pPr>
        <w:spacing w:after="0"/>
        <w:ind w:left="0"/>
        <w:jc w:val="both"/>
      </w:pPr>
      <w:r>
        <w:rPr>
          <w:rFonts w:ascii="Times New Roman"/>
          <w:b w:val="false"/>
          <w:i w:val="false"/>
          <w:color w:val="000000"/>
          <w:sz w:val="28"/>
        </w:rPr>
        <w:t>
      ЕАЭС – Евразийский экономический союз;</w:t>
      </w:r>
    </w:p>
    <w:bookmarkEnd w:id="38"/>
    <w:bookmarkStart w:name="z48" w:id="39"/>
    <w:p>
      <w:pPr>
        <w:spacing w:after="0"/>
        <w:ind w:left="0"/>
        <w:jc w:val="both"/>
      </w:pPr>
      <w:r>
        <w:rPr>
          <w:rFonts w:ascii="Times New Roman"/>
          <w:b w:val="false"/>
          <w:i w:val="false"/>
          <w:color w:val="000000"/>
          <w:sz w:val="28"/>
        </w:rPr>
        <w:t>
      НДС – налог на добавленную стоимость;</w:t>
      </w:r>
    </w:p>
    <w:bookmarkEnd w:id="39"/>
    <w:bookmarkStart w:name="z49" w:id="40"/>
    <w:p>
      <w:pPr>
        <w:spacing w:after="0"/>
        <w:ind w:left="0"/>
        <w:jc w:val="both"/>
      </w:pPr>
      <w:r>
        <w:rPr>
          <w:rFonts w:ascii="Times New Roman"/>
          <w:b w:val="false"/>
          <w:i w:val="false"/>
          <w:color w:val="000000"/>
          <w:sz w:val="28"/>
        </w:rPr>
        <w:t>
      ФЛ – физическое лицо;</w:t>
      </w:r>
    </w:p>
    <w:bookmarkEnd w:id="40"/>
    <w:bookmarkStart w:name="z50" w:id="41"/>
    <w:p>
      <w:pPr>
        <w:spacing w:after="0"/>
        <w:ind w:left="0"/>
        <w:jc w:val="both"/>
      </w:pPr>
      <w:r>
        <w:rPr>
          <w:rFonts w:ascii="Times New Roman"/>
          <w:b w:val="false"/>
          <w:i w:val="false"/>
          <w:color w:val="000000"/>
          <w:sz w:val="28"/>
        </w:rPr>
        <w:t>
      ЭСФ – электронная счет-фактура;</w:t>
      </w:r>
    </w:p>
    <w:bookmarkEnd w:id="41"/>
    <w:bookmarkStart w:name="z51" w:id="42"/>
    <w:p>
      <w:pPr>
        <w:spacing w:after="0"/>
        <w:ind w:left="0"/>
        <w:jc w:val="both"/>
      </w:pPr>
      <w:r>
        <w:rPr>
          <w:rFonts w:ascii="Times New Roman"/>
          <w:b w:val="false"/>
          <w:i w:val="false"/>
          <w:color w:val="000000"/>
          <w:sz w:val="28"/>
        </w:rPr>
        <w:t>
      ТН ВЭД – товарная номенклатура внешнеэкономической деятельности;</w:t>
      </w:r>
    </w:p>
    <w:bookmarkEnd w:id="42"/>
    <w:bookmarkStart w:name="z52" w:id="43"/>
    <w:p>
      <w:pPr>
        <w:spacing w:after="0"/>
        <w:ind w:left="0"/>
        <w:jc w:val="both"/>
      </w:pPr>
      <w:r>
        <w:rPr>
          <w:rFonts w:ascii="Times New Roman"/>
          <w:b w:val="false"/>
          <w:i w:val="false"/>
          <w:color w:val="000000"/>
          <w:sz w:val="28"/>
        </w:rPr>
        <w:t>
      СТ – 1 – сертификат происхождения товара для СНГ/ЕАЭС;</w:t>
      </w:r>
    </w:p>
    <w:bookmarkEnd w:id="43"/>
    <w:bookmarkStart w:name="z53" w:id="44"/>
    <w:p>
      <w:pPr>
        <w:spacing w:after="0"/>
        <w:ind w:left="0"/>
        <w:jc w:val="both"/>
      </w:pPr>
      <w:r>
        <w:rPr>
          <w:rFonts w:ascii="Times New Roman"/>
          <w:b w:val="false"/>
          <w:i w:val="false"/>
          <w:color w:val="000000"/>
          <w:sz w:val="28"/>
        </w:rPr>
        <w:t>
      СТ – KZ – сертификат происхождения товара для внутреннего обращения в Казахстане;</w:t>
      </w:r>
    </w:p>
    <w:bookmarkEnd w:id="44"/>
    <w:bookmarkStart w:name="z54" w:id="45"/>
    <w:p>
      <w:pPr>
        <w:spacing w:after="0"/>
        <w:ind w:left="0"/>
        <w:jc w:val="both"/>
      </w:pPr>
      <w:r>
        <w:rPr>
          <w:rFonts w:ascii="Times New Roman"/>
          <w:b w:val="false"/>
          <w:i w:val="false"/>
          <w:color w:val="000000"/>
          <w:sz w:val="28"/>
        </w:rPr>
        <w:t>
      ДТ – декларация на товары;</w:t>
      </w:r>
    </w:p>
    <w:bookmarkEnd w:id="45"/>
    <w:bookmarkStart w:name="z55" w:id="46"/>
    <w:p>
      <w:pPr>
        <w:spacing w:after="0"/>
        <w:ind w:left="0"/>
        <w:jc w:val="both"/>
      </w:pPr>
      <w:r>
        <w:rPr>
          <w:rFonts w:ascii="Times New Roman"/>
          <w:b w:val="false"/>
          <w:i w:val="false"/>
          <w:color w:val="000000"/>
          <w:sz w:val="28"/>
        </w:rPr>
        <w:t>
      УНП – учетный номер плательщика.</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