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498c" w14:textId="5714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отнесения цифровых объектов "цифрового правительства" к технологически сложным цифровым объектам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июня 2026 года № 308/НҚ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цифровых объектов "цифрового правительства" к технологически сложным цифровым объектам "цифрового правительства.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искусственного интеллекта и цифрового развития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цифровых объектов "цифрового правительства" к технологически сложным цифровым объектам "цифрового правительства"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проектов с длительным внедрением и поэтапным вводом в промышленную эксплуатацию.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разработки более 12 месяцев.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Высокая функциональная и архитектурная сложность решения.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высоконагруженных систем, предусматривающих одновременную работу более 5 000 пользователей, обработку более 300 транзакций в секунду и хранение более 50 000 000 записей в базе данных.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проприетарного лицензируемого (закрытого) программного обеспечения.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технологического стека, не поддерживаемого платформой Qaztech.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Необходимость размещения в специализированных или изолированных контурах.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Необходимость использования специализированной аппаратной инфраструктуры.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Необходимость использования выделенной серверной или сетевой инфраструктуры.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Реализация транзакционных цифровых систем с требованиями к гарантированной целостности данных и непрерывности обработки операций (финансовые, платежные системы).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систем видеоаналитики.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Межгосударственный характер проекта.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Цифровые системы с применением искусственного интеллекта.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