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b81c" w14:textId="bb4b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8 декабря 2025 года № 32/212-VIІІ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21 июля 2026 года № 38/255-VIII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2026-2028 годы" от 8 декабря 2025 года № 32/212-VIІІ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362 637 339,9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39 178 149,0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15 845 346,4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2 010,0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12 680 260,0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294 931 574,5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366 338 264,2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12 098 443,2 тысяч тенге: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40 063 097,2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27 964 654,0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-15 799 367,5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15 799 367,5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39 714 156,2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29 788 374,0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5 873 585,3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2026 год нормативы распределения доходов по социальному налогу: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 в размере 1 процента;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Семей в размере 13,7 процентов;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Курчатов в размере 47,3 процентов;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Ақсуат в размере 100 процентов;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Аягозского района в размере 5 процентов;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Бескарагайского района в размере 41 процент;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Бородулихинского района в размере 17,6 процентов.";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области на 2026 год в сумме 1 117 072,7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38/255-VIІІ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362 637 339,9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39 178 149,0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15 845 346,4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9 565 758,4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9 565 758,4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294 931 574,5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18 902 638,5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18 902 638,5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272 498 219,0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272 498 219,0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366 338 264,2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10 165 996,2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4 690 744,2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3 939 926,2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2 121 137,2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1 668 764,7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2 035 973,6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16 077 019,1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16 077 019,1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15 657 326,6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14 404 221,8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179 817 552,5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133 707 977,9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124 319 949,8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83 458 364,8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1 608 156,3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6 724 744,6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6 606 411,6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11 040 747,7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1 611 811,5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5 602 731,4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5 602 731,4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25 577 744,5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10 741 637,5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10 650 784,8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12 163 800,7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12 163 800,7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1 790 735,3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4 844 631,3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21 808 300,3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7 312 290,3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7 767 470,9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7 714 442,9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4 352 105,8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1 092 215,2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2 130 315,6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30 587 733,3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5 193 602,2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10 658 585,7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10 658 585,7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10 496 903,4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4 238 114,9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16 493 152,6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7 122 333,3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7 122 333,3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3 678 344,3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9 078 917,3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9 078 917,3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7 424 531,4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4 494 000,6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3 796 117,6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19 828 524,7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19 828 524,7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19 828 524,7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12 098 443,2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40 063 097,2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17 777 794,2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-15 799 367,5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15 799 367,5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39 714 156,2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29 788 374,0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5 873 585,3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