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1383" w14:textId="cf61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8 декабря 2025 года № 32/212-VIІІ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31 марта 2026 года № 35/233-VIII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2026-2028 годы" от 8 декабря 2025 года № 32/212-VIІІ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365 146 780,4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43 187 590,0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15 845 346,4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2 010,0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12 680 260,0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293 431 574,0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368 847 704,7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10 171 274,2 тысяч тенге: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38 135 928,2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27 964 654,0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-13 872 198,5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13 872 198,5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37 786 987,2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29 788 374,0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5 873 585,3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2026 год нормативы распределения доходов по социальному налогу: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 в размере 1 процента;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Курчатов в размере 47,3 процентов;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Ақсуат в размере 100 процентов;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Бородулихинского района в размере 16,3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области на  2026 год в сумме 1 445 831,0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35/233-VIІІ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32/212-VIІІ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365 146 780,4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43 187 590,0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15 845 346,4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9 565 758,4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9 565 758,4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12 680 260,0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293 431 574,0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368 847 704,7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3 502 920,7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2 043 160,5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15 982 123,0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14 404 221,8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180 208 622,7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134 089 336,1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83 458 364,8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7 844 871,8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6 611 158,6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11 012 648,1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5 586 960,3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5 586 960,3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25 457 133,4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10 711 026,4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10 703 161,4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12 946 289,1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5 424 948,3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21 612 617,4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7 225 407,2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7 739 012,9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7 684 442,9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7 032 835,0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4 290 346,4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2 117 349,2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1 461 277,8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30 689 326,4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29 213 548,4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5 193 602,2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6 850 064,6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9 164 348,7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4 238 114,9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19 582 937,5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7 520 097,6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19 389 068,0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10 171 274,2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38 135 928,2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15 850 625,2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-13 872 198,5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5 873 585,3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