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01b8" w14:textId="2600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11 апреля 2025 года № 163 "Об утверждении Правил составления и внесения изменений и дополнений в Единую бюджетную классификацию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1 июня 2026 года № 351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июля 2026 года.</w:t>
      </w:r>
    </w:p>
    <w:bookmarkStart w:name="z5" w:id="0"/>
    <w:p>
      <w:pPr>
        <w:spacing w:after="0"/>
        <w:ind w:left="0"/>
        <w:jc w:val="both"/>
      </w:pPr>
      <w:r>
        <w:rPr>
          <w:rFonts w:ascii="Times New Roman"/>
          <w:b w:val="false"/>
          <w:i w:val="false"/>
          <w:color w:val="000000"/>
          <w:sz w:val="28"/>
        </w:rPr>
        <w:t xml:space="preserve">
      ПРИКАЗЫВАЮ: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апреля 2025 года № 163 "Об утверждении Правил составления и внесения изменений и дополнений в Единую бюджетную классификацию Республики Казахстан"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внесения изменений и дополнений в Единую бюджетную классификацию Республики Казахстан, утвержденных указанным приказом:</w:t>
      </w:r>
    </w:p>
    <w:bookmarkEnd w:id="2"/>
    <w:bookmarkStart w:name="z8"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"Бюджетная классификация является группировкой поступлений и расходов бюджета по функциональным, ведомственным и экономическим характеристикам с присвоением объектам классификации группировочных кодов и составляется на основе законов Республики Казахстан, указов Президента Республики Казахстан, постановлений Правительства Республики Казахстан, решений маслихата столицы, областного маслихата, маслихата города республиканского значения, районного (города областного значения) маслихата.";</w:t>
      </w:r>
    </w:p>
    <w:bookmarkEnd w:id="4"/>
    <w:bookmarkStart w:name="z10"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"4. Классификацией поступлений бюджета является группировка поступлений бюджетов всех уровней по определенным характеристикам, на основании законов Республики Казахстан, указов Президента Республики Казахстан, постановлений Правительства Республики Казахстан, а также нормативных правовых актов Республики Казахстан, определяемых законодательством Республики Казахстан, которые устанавливают налоги, платежи и другие поступления в бюджет.";</w:t>
      </w:r>
    </w:p>
    <w:bookmarkEnd w:id="6"/>
    <w:bookmarkStart w:name="z12" w:id="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"Бюджетная программа администратора местных бюджетных программ определяет направление расходов местного бюджета, взаимоувязанное с целями, целевыми индикаторами, определенными в соответствующем плане развития столицы, области, города республиканского значения, либо полномочиями, определенными в Законах Республики Казахстан или в положении о государственном органе.";</w:t>
      </w:r>
    </w:p>
    <w:bookmarkEnd w:id="8"/>
    <w:bookmarkStart w:name="z14" w:id="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9"/>
    <w:bookmarkStart w:name="z15" w:id="10"/>
    <w:p>
      <w:pPr>
        <w:spacing w:after="0"/>
        <w:ind w:left="0"/>
        <w:jc w:val="both"/>
      </w:pPr>
      <w:r>
        <w:rPr>
          <w:rFonts w:ascii="Times New Roman"/>
          <w:b w:val="false"/>
          <w:i w:val="false"/>
          <w:color w:val="000000"/>
          <w:sz w:val="28"/>
        </w:rPr>
        <w:t>
      "15. Бюджетная подпрограмма раскрывает конкретные направления расходования бюджетных средств, нацеленные на достижение цели плана развития государственного органа, плана развития столицы, области, города республиканского значения и (или) конечного результата бюджетной программы и закрепляется в той функциональной группе, функциональной подгруппе что и бюджетная программа.";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"17. В соответствии со </w:t>
      </w:r>
      <w:r>
        <w:rPr>
          <w:rFonts w:ascii="Times New Roman"/>
          <w:b w:val="false"/>
          <w:i w:val="false"/>
          <w:color w:val="000000"/>
          <w:sz w:val="28"/>
        </w:rPr>
        <w:t>статьями 14</w:t>
      </w:r>
      <w:r>
        <w:rPr>
          <w:rFonts w:ascii="Times New Roman"/>
          <w:b w:val="false"/>
          <w:i w:val="false"/>
          <w:color w:val="000000"/>
          <w:sz w:val="28"/>
        </w:rPr>
        <w:t> и </w:t>
      </w:r>
      <w:r>
        <w:rPr>
          <w:rFonts w:ascii="Times New Roman"/>
          <w:b w:val="false"/>
          <w:i w:val="false"/>
          <w:color w:val="000000"/>
          <w:sz w:val="28"/>
        </w:rPr>
        <w:t>168</w:t>
      </w:r>
      <w:r>
        <w:rPr>
          <w:rFonts w:ascii="Times New Roman"/>
          <w:b w:val="false"/>
          <w:i w:val="false"/>
          <w:color w:val="000000"/>
          <w:sz w:val="28"/>
        </w:rPr>
        <w:t> Бюджетного кодекса бюджетные программы (подпрограммы) подразделяются:</w:t>
      </w:r>
    </w:p>
    <w:bookmarkEnd w:id="11"/>
    <w:bookmarkStart w:name="z18" w:id="12"/>
    <w:p>
      <w:pPr>
        <w:spacing w:after="0"/>
        <w:ind w:left="0"/>
        <w:jc w:val="both"/>
      </w:pPr>
      <w:r>
        <w:rPr>
          <w:rFonts w:ascii="Times New Roman"/>
          <w:b w:val="false"/>
          <w:i w:val="false"/>
          <w:color w:val="000000"/>
          <w:sz w:val="28"/>
        </w:rPr>
        <w:t>
      1) в зависимости от содержания на:</w:t>
      </w:r>
    </w:p>
    <w:bookmarkEnd w:id="12"/>
    <w:bookmarkStart w:name="z19" w:id="13"/>
    <w:p>
      <w:pPr>
        <w:spacing w:after="0"/>
        <w:ind w:left="0"/>
        <w:jc w:val="both"/>
      </w:pPr>
      <w:r>
        <w:rPr>
          <w:rFonts w:ascii="Times New Roman"/>
          <w:b w:val="false"/>
          <w:i w:val="false"/>
          <w:color w:val="000000"/>
          <w:sz w:val="28"/>
        </w:rPr>
        <w:t>
      осуществление государственных функций, полномочий и оказание вытекающих из них государственных услуг;</w:t>
      </w:r>
    </w:p>
    <w:bookmarkEnd w:id="13"/>
    <w:bookmarkStart w:name="z20" w:id="14"/>
    <w:p>
      <w:pPr>
        <w:spacing w:after="0"/>
        <w:ind w:left="0"/>
        <w:jc w:val="both"/>
      </w:pPr>
      <w:r>
        <w:rPr>
          <w:rFonts w:ascii="Times New Roman"/>
          <w:b w:val="false"/>
          <w:i w:val="false"/>
          <w:color w:val="000000"/>
          <w:sz w:val="28"/>
        </w:rPr>
        <w:t>
      предоставление трансфертов и бюджетных субсидий;</w:t>
      </w:r>
    </w:p>
    <w:bookmarkEnd w:id="14"/>
    <w:bookmarkStart w:name="z21" w:id="15"/>
    <w:p>
      <w:pPr>
        <w:spacing w:after="0"/>
        <w:ind w:left="0"/>
        <w:jc w:val="both"/>
      </w:pPr>
      <w:r>
        <w:rPr>
          <w:rFonts w:ascii="Times New Roman"/>
          <w:b w:val="false"/>
          <w:i w:val="false"/>
          <w:color w:val="000000"/>
          <w:sz w:val="28"/>
        </w:rPr>
        <w:t>
      предоставление бюджетных кредитов;</w:t>
      </w:r>
    </w:p>
    <w:bookmarkEnd w:id="15"/>
    <w:bookmarkStart w:name="z22" w:id="16"/>
    <w:p>
      <w:pPr>
        <w:spacing w:after="0"/>
        <w:ind w:left="0"/>
        <w:jc w:val="both"/>
      </w:pPr>
      <w:r>
        <w:rPr>
          <w:rFonts w:ascii="Times New Roman"/>
          <w:b w:val="false"/>
          <w:i w:val="false"/>
          <w:color w:val="000000"/>
          <w:sz w:val="28"/>
        </w:rPr>
        <w:t>
      осуществление бюджетных инвестиций;</w:t>
      </w:r>
    </w:p>
    <w:bookmarkEnd w:id="16"/>
    <w:bookmarkStart w:name="z23" w:id="17"/>
    <w:p>
      <w:pPr>
        <w:spacing w:after="0"/>
        <w:ind w:left="0"/>
        <w:jc w:val="both"/>
      </w:pPr>
      <w:r>
        <w:rPr>
          <w:rFonts w:ascii="Times New Roman"/>
          <w:b w:val="false"/>
          <w:i w:val="false"/>
          <w:color w:val="000000"/>
          <w:sz w:val="28"/>
        </w:rPr>
        <w:t>
      осуществление капитальных расходов;</w:t>
      </w:r>
    </w:p>
    <w:bookmarkEnd w:id="17"/>
    <w:bookmarkStart w:name="z24" w:id="18"/>
    <w:p>
      <w:pPr>
        <w:spacing w:after="0"/>
        <w:ind w:left="0"/>
        <w:jc w:val="both"/>
      </w:pPr>
      <w:r>
        <w:rPr>
          <w:rFonts w:ascii="Times New Roman"/>
          <w:b w:val="false"/>
          <w:i w:val="false"/>
          <w:color w:val="000000"/>
          <w:sz w:val="28"/>
        </w:rPr>
        <w:t>
      выполнение обязательств государства.</w:t>
      </w:r>
    </w:p>
    <w:bookmarkEnd w:id="18"/>
    <w:bookmarkStart w:name="z25" w:id="19"/>
    <w:p>
      <w:pPr>
        <w:spacing w:after="0"/>
        <w:ind w:left="0"/>
        <w:jc w:val="both"/>
      </w:pPr>
      <w:r>
        <w:rPr>
          <w:rFonts w:ascii="Times New Roman"/>
          <w:b w:val="false"/>
          <w:i w:val="false"/>
          <w:color w:val="000000"/>
          <w:sz w:val="28"/>
        </w:rPr>
        <w:t>
      Для достижения цели плана развития государственного органа или плана развития столицы, области, города республиканского значения, единого конечного результата затраты по осуществлению государственных функций, полномочий и оказанию вытекающих из них государственных услуг, осуществлению капитальных расходов, реализации государственных инвестиционных проектов, предоставлению трансфертов и бюджетных субсидий объединяются в одну бюджетную программу с сохранением структуры бюджета с выделением указанных затрат в отдельные подпрограммы.</w:t>
      </w:r>
    </w:p>
    <w:bookmarkEnd w:id="19"/>
    <w:bookmarkStart w:name="z26" w:id="20"/>
    <w:p>
      <w:pPr>
        <w:spacing w:after="0"/>
        <w:ind w:left="0"/>
        <w:jc w:val="both"/>
      </w:pPr>
      <w:r>
        <w:rPr>
          <w:rFonts w:ascii="Times New Roman"/>
          <w:b w:val="false"/>
          <w:i w:val="false"/>
          <w:color w:val="000000"/>
          <w:sz w:val="28"/>
        </w:rPr>
        <w:t>
      Не допускается введение новой бюджетной программы, направленной на достижение цели утвержденного плана развития государственного органа или плана развития столицы, области, города республиканского значения, при наличии бюджетной программы, направленной на достижение данной цели в пределах раздела структуры бюджета.</w:t>
      </w:r>
    </w:p>
    <w:bookmarkEnd w:id="20"/>
    <w:bookmarkStart w:name="z27" w:id="21"/>
    <w:p>
      <w:pPr>
        <w:spacing w:after="0"/>
        <w:ind w:left="0"/>
        <w:jc w:val="both"/>
      </w:pPr>
      <w:r>
        <w:rPr>
          <w:rFonts w:ascii="Times New Roman"/>
          <w:b w:val="false"/>
          <w:i w:val="false"/>
          <w:color w:val="000000"/>
          <w:sz w:val="28"/>
        </w:rPr>
        <w:t>
      2) в зависимости от уровня государственного управления на:</w:t>
      </w:r>
    </w:p>
    <w:bookmarkEnd w:id="21"/>
    <w:bookmarkStart w:name="z28" w:id="22"/>
    <w:p>
      <w:pPr>
        <w:spacing w:after="0"/>
        <w:ind w:left="0"/>
        <w:jc w:val="both"/>
      </w:pPr>
      <w:r>
        <w:rPr>
          <w:rFonts w:ascii="Times New Roman"/>
          <w:b w:val="false"/>
          <w:i w:val="false"/>
          <w:color w:val="000000"/>
          <w:sz w:val="28"/>
        </w:rPr>
        <w:t>
      республиканские, утверждаемые в составе республиканского бюджета;</w:t>
      </w:r>
    </w:p>
    <w:bookmarkEnd w:id="22"/>
    <w:bookmarkStart w:name="z29" w:id="23"/>
    <w:p>
      <w:pPr>
        <w:spacing w:after="0"/>
        <w:ind w:left="0"/>
        <w:jc w:val="both"/>
      </w:pPr>
      <w:r>
        <w:rPr>
          <w:rFonts w:ascii="Times New Roman"/>
          <w:b w:val="false"/>
          <w:i w:val="false"/>
          <w:color w:val="000000"/>
          <w:sz w:val="28"/>
        </w:rPr>
        <w:t>
      столицы, областные, городов республиканского значения, утверждаемые в составе бюджета столицы, областного бюджета, бюджетов городов республиканского значения;</w:t>
      </w:r>
    </w:p>
    <w:bookmarkEnd w:id="23"/>
    <w:bookmarkStart w:name="z30" w:id="24"/>
    <w:p>
      <w:pPr>
        <w:spacing w:after="0"/>
        <w:ind w:left="0"/>
        <w:jc w:val="both"/>
      </w:pPr>
      <w:r>
        <w:rPr>
          <w:rFonts w:ascii="Times New Roman"/>
          <w:b w:val="false"/>
          <w:i w:val="false"/>
          <w:color w:val="000000"/>
          <w:sz w:val="28"/>
        </w:rPr>
        <w:t>
      районные (городские), утверждаемые в составе районного (города областного значения) бюджета;</w:t>
      </w:r>
    </w:p>
    <w:bookmarkEnd w:id="24"/>
    <w:bookmarkStart w:name="z31" w:id="25"/>
    <w:p>
      <w:pPr>
        <w:spacing w:after="0"/>
        <w:ind w:left="0"/>
        <w:jc w:val="both"/>
      </w:pPr>
      <w:r>
        <w:rPr>
          <w:rFonts w:ascii="Times New Roman"/>
          <w:b w:val="false"/>
          <w:i w:val="false"/>
          <w:color w:val="000000"/>
          <w:sz w:val="28"/>
        </w:rPr>
        <w:t>
      бюджетные программы района в городе, утверждаемые в составе бюджетов столицы, городов республиканского значения, города областного значения;</w:t>
      </w:r>
    </w:p>
    <w:bookmarkEnd w:id="25"/>
    <w:bookmarkStart w:name="z32" w:id="26"/>
    <w:p>
      <w:pPr>
        <w:spacing w:after="0"/>
        <w:ind w:left="0"/>
        <w:jc w:val="both"/>
      </w:pPr>
      <w:r>
        <w:rPr>
          <w:rFonts w:ascii="Times New Roman"/>
          <w:b w:val="false"/>
          <w:i w:val="false"/>
          <w:color w:val="000000"/>
          <w:sz w:val="28"/>
        </w:rPr>
        <w:t>
      бюджетные программы города районного значения, села, поселка, сельского округа, утверждаемые в составе бюджета города районного значения, сел, поселков, сельских округов;</w:t>
      </w:r>
    </w:p>
    <w:bookmarkEnd w:id="26"/>
    <w:bookmarkStart w:name="z33" w:id="27"/>
    <w:p>
      <w:pPr>
        <w:spacing w:after="0"/>
        <w:ind w:left="0"/>
        <w:jc w:val="both"/>
      </w:pPr>
      <w:r>
        <w:rPr>
          <w:rFonts w:ascii="Times New Roman"/>
          <w:b w:val="false"/>
          <w:i w:val="false"/>
          <w:color w:val="000000"/>
          <w:sz w:val="28"/>
        </w:rPr>
        <w:t>
      бюджетные программы города районного значения, села, поселка, сельского округа, утверждаемые в составе бюджета района (города областного значения) или районного (города областного значения) бюджета, бюджетные программы города районного значения, села, поселка, сельского округа, утверждаемые в составе бюджетов городов районного значения, сел, поселков, сельских округов.</w:t>
      </w:r>
    </w:p>
    <w:bookmarkEnd w:id="27"/>
    <w:bookmarkStart w:name="z34" w:id="28"/>
    <w:p>
      <w:pPr>
        <w:spacing w:after="0"/>
        <w:ind w:left="0"/>
        <w:jc w:val="both"/>
      </w:pPr>
      <w:r>
        <w:rPr>
          <w:rFonts w:ascii="Times New Roman"/>
          <w:b w:val="false"/>
          <w:i w:val="false"/>
          <w:color w:val="000000"/>
          <w:sz w:val="28"/>
        </w:rPr>
        <w:t>
      Столицы, областные, городов республиканского значения, районные (городские) бюджетные программы, а также бюджетные программы района в городе и бюджетные программы города районного значения, села, поселка, сельского округа являются местными бюджетными программами.</w:t>
      </w:r>
    </w:p>
    <w:bookmarkEnd w:id="28"/>
    <w:bookmarkStart w:name="z35" w:id="29"/>
    <w:p>
      <w:pPr>
        <w:spacing w:after="0"/>
        <w:ind w:left="0"/>
        <w:jc w:val="both"/>
      </w:pPr>
      <w:r>
        <w:rPr>
          <w:rFonts w:ascii="Times New Roman"/>
          <w:b w:val="false"/>
          <w:i w:val="false"/>
          <w:color w:val="000000"/>
          <w:sz w:val="28"/>
        </w:rPr>
        <w:t>
      3) в зависимости от способа реализации на:</w:t>
      </w:r>
    </w:p>
    <w:bookmarkEnd w:id="29"/>
    <w:bookmarkStart w:name="z36" w:id="30"/>
    <w:p>
      <w:pPr>
        <w:spacing w:after="0"/>
        <w:ind w:left="0"/>
        <w:jc w:val="both"/>
      </w:pPr>
      <w:r>
        <w:rPr>
          <w:rFonts w:ascii="Times New Roman"/>
          <w:b w:val="false"/>
          <w:i w:val="false"/>
          <w:color w:val="000000"/>
          <w:sz w:val="28"/>
        </w:rPr>
        <w:t>
      индивидуальные бюджетные программы (подпрограммы), реализуемые одним администратором;</w:t>
      </w:r>
    </w:p>
    <w:bookmarkEnd w:id="30"/>
    <w:bookmarkStart w:name="z37" w:id="31"/>
    <w:p>
      <w:pPr>
        <w:spacing w:after="0"/>
        <w:ind w:left="0"/>
        <w:jc w:val="both"/>
      </w:pPr>
      <w:r>
        <w:rPr>
          <w:rFonts w:ascii="Times New Roman"/>
          <w:b w:val="false"/>
          <w:i w:val="false"/>
          <w:color w:val="000000"/>
          <w:sz w:val="28"/>
        </w:rPr>
        <w:t>
      распределяемые бюджетные программы, утверждаемые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w:t>
      </w:r>
    </w:p>
    <w:bookmarkEnd w:id="31"/>
    <w:bookmarkStart w:name="z38" w:id="32"/>
    <w:p>
      <w:pPr>
        <w:spacing w:after="0"/>
        <w:ind w:left="0"/>
        <w:jc w:val="both"/>
      </w:pPr>
      <w:r>
        <w:rPr>
          <w:rFonts w:ascii="Times New Roman"/>
          <w:b w:val="false"/>
          <w:i w:val="false"/>
          <w:color w:val="000000"/>
          <w:sz w:val="28"/>
        </w:rPr>
        <w:t>
      Бюджетные программы (подпрограммы) подразделяются на текущие бюджетные программы (подпрограммы) и бюджетные программы (подпрограммы) развития с присвоением соответствующего признака (кода) в составе единой бюджетной классификации.</w:t>
      </w:r>
    </w:p>
    <w:bookmarkEnd w:id="32"/>
    <w:bookmarkStart w:name="z39" w:id="33"/>
    <w:p>
      <w:pPr>
        <w:spacing w:after="0"/>
        <w:ind w:left="0"/>
        <w:jc w:val="both"/>
      </w:pPr>
      <w:r>
        <w:rPr>
          <w:rFonts w:ascii="Times New Roman"/>
          <w:b w:val="false"/>
          <w:i w:val="false"/>
          <w:color w:val="000000"/>
          <w:sz w:val="28"/>
        </w:rPr>
        <w:t>
      К бюджетным программам (подпрограммам) развития относятся расходы бюджета, направленные на осуществление бюджетных инвестиций. Остальные расходы бюджета относятся к текущим бюджетным программам (подпрограммам).".</w:t>
      </w:r>
    </w:p>
    <w:bookmarkEnd w:id="33"/>
    <w:bookmarkStart w:name="z40" w:id="34"/>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34"/>
    <w:bookmarkStart w:name="z41" w:id="35"/>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5"/>
    <w:bookmarkStart w:name="z42"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36"/>
    <w:bookmarkStart w:name="z43" w:id="37"/>
    <w:p>
      <w:pPr>
        <w:spacing w:after="0"/>
        <w:ind w:left="0"/>
        <w:jc w:val="both"/>
      </w:pPr>
      <w:r>
        <w:rPr>
          <w:rFonts w:ascii="Times New Roman"/>
          <w:b w:val="false"/>
          <w:i w:val="false"/>
          <w:color w:val="000000"/>
          <w:sz w:val="28"/>
        </w:rPr>
        <w:t>
      3. Настоящий приказ вводится в действие с 1 июля 2026 года и подлежит официальному опубликованию.</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