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c84c" w14:textId="e13c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18 мая 2026 года № 311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особо охраняемых природных территорий"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10</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3</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207</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256</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1. Оказание платных услуг физическим и юридическим лицам при пользовании ими природными комплексами в туристских и рекреационных целях, в том числе:</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предоставлению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хозяйства,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проведению любительского (спортивного) рыболовства, а также рыбоводства;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 а также услуг по предоставлению во временное владение и пользование упряжных и верховых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1) сохранение и развитие природных комплексов;</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охрана растительного и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очистка и благоустройство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развитие инфраструктуры, связанной с охраной объектов природно-заповедного фонда, туристской, рекреационной и ограниченной хозяйственной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оплата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оплата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стоимости работ (услуг) юридических лиц, осуществляющих деятельность по управлению контрольно-пропускными пунктами государственных национальных природных парков;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строительство, реконструкция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подготовка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организация и содержание музеев природы и выставок;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развитие и благоустройство рекреационных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совершенствование рекламной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17) экологическая пропаганда;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предупреждение и ликвидация негативных экологических последствий.</w:t>
            </w:r>
          </w:p>
          <w:p>
            <w:pPr>
              <w:spacing w:after="20"/>
              <w:ind w:left="20"/>
              <w:jc w:val="both"/>
            </w:pPr>
            <w:r>
              <w:rPr>
                <w:rFonts w:ascii="Times New Roman"/>
                <w:b w:val="false"/>
                <w:i w:val="false"/>
                <w:color w:val="000000"/>
                <w:sz w:val="20"/>
              </w:rPr>
              <w:t>
(112, 113, 116, 121, 122, 123, 124, 131, 135, 136, 141, 142, 143, 144, 149, 151, 152, 153, 154, 156, 159, 161, 165, 169, 413, 414, 416, 417,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38</w:t>
            </w:r>
            <w:r>
              <w:rPr>
                <w:rFonts w:ascii="Times New Roman"/>
                <w:b w:val="false"/>
                <w:i w:val="false"/>
                <w:color w:val="000000"/>
                <w:sz w:val="20"/>
              </w:rPr>
              <w:t xml:space="preserve"> Закона Республики Казахстан "Об особо охраняемых природных территориях", </w:t>
            </w:r>
            <w:r>
              <w:rPr>
                <w:rFonts w:ascii="Times New Roman"/>
                <w:b w:val="false"/>
                <w:i w:val="false"/>
                <w:color w:val="000000"/>
                <w:sz w:val="20"/>
              </w:rPr>
              <w:t>приказ</w:t>
            </w:r>
            <w:r>
              <w:rPr>
                <w:rFonts w:ascii="Times New Roman"/>
                <w:b w:val="false"/>
                <w:i w:val="false"/>
                <w:color w:val="000000"/>
                <w:sz w:val="20"/>
              </w:rPr>
              <w:t xml:space="preserve"> Министра экологии и природных ресурсов Республики Казахстан от 27 июня 2025 года № 175 "Об утверждении Правил осуществления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деньги от реализации которых остаются в их распоряжении, использования денег от реализации государственными учреждениями в сферах лесного хозяйства, особо охраняемых природных территорий товаров (работ, услуг), остающихся в их распоряжении" (далее – Правила № 175) (зарегистрирован в Реестре государственной регистрации нормативных правовых актов под № 36373).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РБ</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4"/>
          <w:p>
            <w:pPr>
              <w:spacing w:after="20"/>
              <w:ind w:left="20"/>
              <w:jc w:val="both"/>
            </w:pPr>
            <w:r>
              <w:rPr>
                <w:rFonts w:ascii="Times New Roman"/>
                <w:b w:val="false"/>
                <w:i w:val="false"/>
                <w:color w:val="000000"/>
                <w:sz w:val="20"/>
              </w:rPr>
              <w:t>
10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3</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207</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7"/>
          <w:p>
            <w:pPr>
              <w:spacing w:after="20"/>
              <w:ind w:left="20"/>
              <w:jc w:val="both"/>
            </w:pPr>
            <w:r>
              <w:rPr>
                <w:rFonts w:ascii="Times New Roman"/>
                <w:b w:val="false"/>
                <w:i w:val="false"/>
                <w:color w:val="000000"/>
                <w:sz w:val="20"/>
              </w:rPr>
              <w:t>
256</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100</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2. Доходы от ограниченной хозяйственной деятельности, в том числе от: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производства сувенирной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выращивания рыбопосадочного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
          <w:p>
            <w:pPr>
              <w:spacing w:after="20"/>
              <w:ind w:left="20"/>
              <w:jc w:val="both"/>
            </w:pPr>
            <w:r>
              <w:rPr>
                <w:rFonts w:ascii="Times New Roman"/>
                <w:b w:val="false"/>
                <w:i w:val="false"/>
                <w:color w:val="000000"/>
                <w:sz w:val="20"/>
              </w:rPr>
              <w:t>
РБ</w:t>
            </w:r>
          </w:p>
          <w:bookmarkEnd w:id="20"/>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1"/>
          <w:p>
            <w:pPr>
              <w:spacing w:after="20"/>
              <w:ind w:left="20"/>
              <w:jc w:val="both"/>
            </w:pPr>
            <w:r>
              <w:rPr>
                <w:rFonts w:ascii="Times New Roman"/>
                <w:b w:val="false"/>
                <w:i w:val="false"/>
                <w:color w:val="000000"/>
                <w:sz w:val="20"/>
              </w:rPr>
              <w:t>
10</w:t>
            </w:r>
          </w:p>
          <w:bookmarkEnd w:id="21"/>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2"/>
          <w:p>
            <w:pPr>
              <w:spacing w:after="20"/>
              <w:ind w:left="20"/>
              <w:jc w:val="both"/>
            </w:pPr>
            <w:r>
              <w:rPr>
                <w:rFonts w:ascii="Times New Roman"/>
                <w:b w:val="false"/>
                <w:i w:val="false"/>
                <w:color w:val="000000"/>
                <w:sz w:val="20"/>
              </w:rPr>
              <w:t>
5</w:t>
            </w:r>
          </w:p>
          <w:bookmarkEnd w:id="22"/>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3"/>
          <w:p>
            <w:pPr>
              <w:spacing w:after="20"/>
              <w:ind w:left="20"/>
              <w:jc w:val="both"/>
            </w:pPr>
            <w:r>
              <w:rPr>
                <w:rFonts w:ascii="Times New Roman"/>
                <w:b w:val="false"/>
                <w:i w:val="false"/>
                <w:color w:val="000000"/>
                <w:sz w:val="20"/>
              </w:rPr>
              <w:t>
694</w:t>
            </w:r>
          </w:p>
          <w:bookmarkEnd w:id="23"/>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4"/>
          <w:p>
            <w:pPr>
              <w:spacing w:after="20"/>
              <w:ind w:left="20"/>
              <w:jc w:val="both"/>
            </w:pPr>
            <w:r>
              <w:rPr>
                <w:rFonts w:ascii="Times New Roman"/>
                <w:b w:val="false"/>
                <w:i w:val="false"/>
                <w:color w:val="000000"/>
                <w:sz w:val="20"/>
              </w:rPr>
              <w:t>
007</w:t>
            </w:r>
          </w:p>
          <w:bookmarkEnd w:id="24"/>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5"/>
          <w:p>
            <w:pPr>
              <w:spacing w:after="20"/>
              <w:ind w:left="20"/>
              <w:jc w:val="both"/>
            </w:pPr>
            <w:r>
              <w:rPr>
                <w:rFonts w:ascii="Times New Roman"/>
                <w:b w:val="false"/>
                <w:i w:val="false"/>
                <w:color w:val="000000"/>
                <w:sz w:val="20"/>
              </w:rPr>
              <w:t>
100</w:t>
            </w:r>
          </w:p>
          <w:bookmarkEnd w:id="25"/>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6"/>
          <w:p>
            <w:pPr>
              <w:spacing w:after="20"/>
              <w:ind w:left="20"/>
              <w:jc w:val="both"/>
            </w:pPr>
            <w:r>
              <w:rPr>
                <w:rFonts w:ascii="Times New Roman"/>
                <w:b w:val="false"/>
                <w:i w:val="false"/>
                <w:color w:val="000000"/>
                <w:sz w:val="20"/>
              </w:rPr>
              <w:t>
РБ</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7"/>
          <w:p>
            <w:pPr>
              <w:spacing w:after="20"/>
              <w:ind w:left="20"/>
              <w:jc w:val="both"/>
            </w:pPr>
            <w:r>
              <w:rPr>
                <w:rFonts w:ascii="Times New Roman"/>
                <w:b w:val="false"/>
                <w:i w:val="false"/>
                <w:color w:val="000000"/>
                <w:sz w:val="20"/>
              </w:rPr>
              <w:t>
10</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8"/>
          <w:p>
            <w:pPr>
              <w:spacing w:after="20"/>
              <w:ind w:left="20"/>
              <w:jc w:val="both"/>
            </w:pPr>
            <w:r>
              <w:rPr>
                <w:rFonts w:ascii="Times New Roman"/>
                <w:b w:val="false"/>
                <w:i w:val="false"/>
                <w:color w:val="000000"/>
                <w:sz w:val="20"/>
              </w:rPr>
              <w:t>
5</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9"/>
          <w:p>
            <w:pPr>
              <w:spacing w:after="20"/>
              <w:ind w:left="20"/>
              <w:jc w:val="both"/>
            </w:pPr>
            <w:r>
              <w:rPr>
                <w:rFonts w:ascii="Times New Roman"/>
                <w:b w:val="false"/>
                <w:i w:val="false"/>
                <w:color w:val="000000"/>
                <w:sz w:val="20"/>
              </w:rPr>
              <w:t>
694</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207</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0"/>
          <w:p>
            <w:pPr>
              <w:spacing w:after="20"/>
              <w:ind w:left="20"/>
              <w:jc w:val="both"/>
            </w:pPr>
            <w:r>
              <w:rPr>
                <w:rFonts w:ascii="Times New Roman"/>
                <w:b w:val="false"/>
                <w:i w:val="false"/>
                <w:color w:val="000000"/>
                <w:sz w:val="20"/>
              </w:rPr>
              <w:t>
007</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256</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1"/>
          <w:p>
            <w:pPr>
              <w:spacing w:after="20"/>
              <w:ind w:left="20"/>
              <w:jc w:val="both"/>
            </w:pPr>
            <w:r>
              <w:rPr>
                <w:rFonts w:ascii="Times New Roman"/>
                <w:b w:val="false"/>
                <w:i w:val="false"/>
                <w:color w:val="000000"/>
                <w:sz w:val="20"/>
              </w:rPr>
              <w:t>
100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 а также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2"/>
          <w:p>
            <w:pPr>
              <w:spacing w:after="20"/>
              <w:ind w:left="20"/>
              <w:jc w:val="both"/>
            </w:pPr>
            <w:r>
              <w:rPr>
                <w:rFonts w:ascii="Times New Roman"/>
                <w:b w:val="false"/>
                <w:i w:val="false"/>
                <w:color w:val="000000"/>
                <w:sz w:val="20"/>
              </w:rPr>
              <w:t>
РБ</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3"/>
          <w:p>
            <w:pPr>
              <w:spacing w:after="20"/>
              <w:ind w:left="20"/>
              <w:jc w:val="both"/>
            </w:pPr>
            <w:r>
              <w:rPr>
                <w:rFonts w:ascii="Times New Roman"/>
                <w:b w:val="false"/>
                <w:i w:val="false"/>
                <w:color w:val="000000"/>
                <w:sz w:val="20"/>
              </w:rPr>
              <w:t>
10</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4"/>
          <w:p>
            <w:pPr>
              <w:spacing w:after="20"/>
              <w:ind w:left="20"/>
              <w:jc w:val="both"/>
            </w:pPr>
            <w:r>
              <w:rPr>
                <w:rFonts w:ascii="Times New Roman"/>
                <w:b w:val="false"/>
                <w:i w:val="false"/>
                <w:color w:val="000000"/>
                <w:sz w:val="20"/>
              </w:rPr>
              <w:t>
5</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5"/>
          <w:p>
            <w:pPr>
              <w:spacing w:after="20"/>
              <w:ind w:left="20"/>
              <w:jc w:val="both"/>
            </w:pPr>
            <w:r>
              <w:rPr>
                <w:rFonts w:ascii="Times New Roman"/>
                <w:b w:val="false"/>
                <w:i w:val="false"/>
                <w:color w:val="000000"/>
                <w:sz w:val="20"/>
              </w:rPr>
              <w:t>
694</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207</w:t>
            </w:r>
          </w:p>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6"/>
          <w:p>
            <w:pPr>
              <w:spacing w:after="20"/>
              <w:ind w:left="20"/>
              <w:jc w:val="both"/>
            </w:pPr>
            <w:r>
              <w:rPr>
                <w:rFonts w:ascii="Times New Roman"/>
                <w:b w:val="false"/>
                <w:i w:val="false"/>
                <w:color w:val="000000"/>
                <w:sz w:val="20"/>
              </w:rPr>
              <w:t>
007</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256</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7"/>
          <w:p>
            <w:pPr>
              <w:spacing w:after="20"/>
              <w:ind w:left="20"/>
              <w:jc w:val="both"/>
            </w:pPr>
            <w:r>
              <w:rPr>
                <w:rFonts w:ascii="Times New Roman"/>
                <w:b w:val="false"/>
                <w:i w:val="false"/>
                <w:color w:val="000000"/>
                <w:sz w:val="20"/>
              </w:rPr>
              <w:t>
100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 а также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07" w:id="38"/>
    <w:p>
      <w:pPr>
        <w:spacing w:after="0"/>
        <w:ind w:left="0"/>
        <w:jc w:val="both"/>
      </w:pPr>
      <w:r>
        <w:rPr>
          <w:rFonts w:ascii="Times New Roman"/>
          <w:b w:val="false"/>
          <w:i w:val="false"/>
          <w:color w:val="000000"/>
          <w:sz w:val="28"/>
        </w:rPr>
        <w:t>
      ";</w:t>
      </w:r>
    </w:p>
    <w:bookmarkEnd w:id="38"/>
    <w:bookmarkStart w:name="z108" w:id="39"/>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сортоиспытания сельскохозяйственных растений" изложить в следующей редакции:</w:t>
      </w:r>
    </w:p>
    <w:bookmarkEnd w:id="39"/>
    <w:bookmarkStart w:name="z109"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сортоиспытания сельскохозяйственных растений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продукции, полученной в результате проведения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1"/>
          <w:p>
            <w:pPr>
              <w:spacing w:after="20"/>
              <w:ind w:left="20"/>
              <w:jc w:val="both"/>
            </w:pPr>
            <w:r>
              <w:rPr>
                <w:rFonts w:ascii="Times New Roman"/>
                <w:b w:val="false"/>
                <w:i w:val="false"/>
                <w:color w:val="000000"/>
                <w:sz w:val="20"/>
              </w:rPr>
              <w:t>
1) проведение сельскохозяйственных работ и лабораторных исследований на сортоиспытательных станциях и участках;</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транспортных средств, сельскохозяйственной техники, тракторов, комбайнов, силовых машин и оборудований, машин-генераторов, рабочих машин и оборудований, измерительных приборов, регулирующих приборов и устройств, лабораторного оборудования, компьютерного оборудования, прочих машин и оборудований, инструментов механизированных и немеханизированных орудий труда общего назначения, производственного инвентаря и принадлежностей, хозяйственного инвентаря, предметов противопожарного назначения, прочего производственного и хозяйственного инвентаря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научных исследований в сфере сортоиспытания сельскохозяйственных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труда внештатных сезонных специалистов и рабочих, технического персонала, привлекаемых государственным учреждением в сфере сортоиспытания для проведения сельскохозяйственных и лабораторных работ в сфере сортоиспытания;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топлива, горюче-смазочных материалов (масло, тосол, дрова, уголь, торф, бензин, керосин, мазут, автол и другие горюче-смазочные материалы), талонов на горюче-смазочные материалы, а также оплата услуг по погрузке, разгрузке, транспортировке и хранению топлива всех видов;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прочих материалов (посадочный материал, семена, удобрения, пестициды, технические носители информации, почтовые марки, маркированные конверты, бланочная продукция, журналы регистраций входящей (исходящей) корреспонденции, картриджи, тонеры);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приобретение лекарственных средств, изделий медицинского назначения, аптечек (аптечек для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приобретение строительных материалов, используемых в процессе строительства и монтажных работ (рукан (рубероид), смесители, раковины, унитазы, душевые кабинки, ванны, дверной блок, оконный блок, коннектор, кабель-канал, двери, ручки на двери, дверной доводчик, замок врезной, розетки, выключатели, линолеум, ковролан);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хозяйственных материалов (электрических сетевых фильтров, удлинителей, посуд, чистящих, дезинфицирующих, моющих средств для содержания помещений, освежителей воздуха, мешков для мусора; ветоши, перчаток хозяйственных, черенков для лопат, батареек, шпагатов, шлангов, туалетной бумаги, бумажных полотенец, принадлежностей для уборки помещений, канцелярских принадлежностей, специальной одежды, коробок, мешков для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услуг всех видов связи, в том числе интернет-связи, коммунальных услуг, аренды помещений и зданий, по агрохимическому обследованию почв и проведению мелиоративных мероприятий, по поверке весового и специализированного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приобретение подписных изданий, научной, методической и специальной литературы;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издание научных, методических материалов и официальных бюллетеней;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подготовка и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оплата услуг по переводу иностранной корреспонденции и научной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проведение массовых мероприятий по рекламе и пропаганде перспективных и ценных сортов сельскохозяйственных растений (дни поля, семинары, выставки, экскурсии, презентации);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текущий ремонт зданий, сооружений и объектов, связанных с функционированием государственного учреждения в сфере сортоиспытания (общестроительные работы, гидроизоляционные работы, работы по монтажу электропроводов и установке электроарматуры, электромонтажные работы по установке оборудования электросвязи, установка электрооборудования в здании, проведение линий локальной сети (электричества), газификация, монтаж (установка), демонтаж водопроводного счетчика, электросчетчика, силового щитка, электроавтомата, трансформатора, сплит-систем, газового счетчика, установка лабораторного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техническое обслуживание, текущий ремонт отопительной, канализационной, водопроводной системы, сварочные работы, водопроводные работы, установку заборов и оград, ставней и навесов, ворот, монтаж (установку) кондиционера, антенн для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штукатурные, малярные работы, стекольные работы, установку перегородок в помещении;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приобретение запасных частей, предназначенных для ремонта и замены изношенных частей в оборудовании, тракторах, комбайнах, транспортных средствах (автомобильные двигатели, аккумулятор, аккумуляторные батареи, трос, маховик, сальники, реле, водяной насос, крестовина, амортизаторы и другие запасные части), компьютерной техники (материнская плата, жесткий диск, кулер, оперативное запоминающее устройство, блок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командировочные расходы работников государственного учреждения в сфере сортоиспытания и технического персонала, в пределах и в том числе за пределами Республики Казахстан, в пределах норм возмещения командировочных расходов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21) поощрение работников государственного учреждения в сфере сортоиспытания за трудовые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22) оплата услуг по разработке и экспертизе проектной (технико-экономического обоснования) документации, изготовлению топографической съемки земельного участка, разработке землеустроительного проекта, установлению на местности границ земельного участка, изготовлению и выдаче идентификационного документа на земельный участок;</w:t>
            </w:r>
          </w:p>
          <w:p>
            <w:pPr>
              <w:spacing w:after="20"/>
              <w:ind w:left="20"/>
              <w:jc w:val="both"/>
            </w:pPr>
            <w:r>
              <w:rPr>
                <w:rFonts w:ascii="Times New Roman"/>
                <w:b w:val="false"/>
                <w:i w:val="false"/>
                <w:color w:val="000000"/>
                <w:sz w:val="20"/>
              </w:rPr>
              <w:t>
</w:t>
            </w:r>
            <w:r>
              <w:rPr>
                <w:rFonts w:ascii="Times New Roman"/>
                <w:b w:val="false"/>
                <w:i w:val="false"/>
                <w:color w:val="000000"/>
                <w:sz w:val="20"/>
              </w:rPr>
              <w:t>23) затраты на аренду транспортных средств для проведения сельскохозяйственных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24)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25) затраты на приобретение помещений, зданий, сооружений, передаточных устройств, а также оформление земли, на которой размещены помещения, здания и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26) приобретение и установка офисного оборудования, офисной техники, цифровых систем и программного обеспечения, антивирусной программы, специального программного обеспечения автоматической обработки данных результатов в сфере сортоиспытания сельскохозяйственных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27) оплата услуг по техническому осмотру, обязательному страхованию гражданско-правовой ответственности владельцев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28) оплата услуг по установке, обслуживанию программного обеспечения Webkassa 2.0, консультационных услуг по поддержке программного обеспечения, обработке данных, созданию баз данных, техническому обслуживанию веб-порталов в сфере государственного сортоиспытания;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29) оплата услуг по вывозу твердых бытовых отходов, услуг дезинфекции, дезинсекции, дератизации;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30) оплата услуг по диагностике, ремонту транспортных средств, замене автомобильного масла, монтажу шин, замене резины, техническому обслуживанию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31) оплата за установку приборов учета электроэнергии, воды, газа с прохождением государственной проверки и программированием;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32) изготовление баннера, бланков, твердых папок, благодарственных писем, грамот, специальных журналов, штампов, стендов;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оплата услуг по ремонту, сборке, установке, обслуживанию офисной техники, компьютеров и периферийных устройств, принтера, серверного оборудования, копировального аппарата, факса, оборудования для систем пожарной сигнализации и огнетушителей;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34) представительские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35) оплата обязательных пенсионных взносов работодателей;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37) оплата гарантийного взноса;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38) оплата услуг по хранению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39) абонентская плата за годовое обслуживание лицевого счета клиента в регистраторской цифровой системе;</w:t>
            </w:r>
          </w:p>
          <w:p>
            <w:pPr>
              <w:spacing w:after="20"/>
              <w:ind w:left="20"/>
              <w:jc w:val="both"/>
            </w:pPr>
            <w:r>
              <w:rPr>
                <w:rFonts w:ascii="Times New Roman"/>
                <w:b w:val="false"/>
                <w:i w:val="false"/>
                <w:color w:val="000000"/>
                <w:sz w:val="20"/>
              </w:rPr>
              <w:t>
40) оплата стоимости работ органа по аккредитации по проведению оценок (112, 116, 121, 122, 123, 124, 131, 135, 136, 144, 149, 151, 152, 153, 156, 157, 158, 159, 161, 162, 165, 169, 412,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"Об охране селекционных достижений", </w:t>
            </w:r>
            <w:r>
              <w:rPr>
                <w:rFonts w:ascii="Times New Roman"/>
                <w:b w:val="false"/>
                <w:i w:val="false"/>
                <w:color w:val="000000"/>
                <w:sz w:val="20"/>
              </w:rPr>
              <w:t>статья 23-4</w:t>
            </w:r>
            <w:r>
              <w:rPr>
                <w:rFonts w:ascii="Times New Roman"/>
                <w:b w:val="false"/>
                <w:i w:val="false"/>
                <w:color w:val="000000"/>
                <w:sz w:val="20"/>
              </w:rPr>
              <w:t xml:space="preserve"> Закона Республики Казахстан "О семеноводстве",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апреля 2025 года № 135 "Об утверждении Правил осуществления платных видов деятельности по реализации товаров (работ, услуг) государственным учреждением в сфере сортоиспытания, использования им денег от реализации товаров (работ, услуг), остающихся в его распоряжении" (зарегистрирован в Реестре государственной регистрации нормативных правовых актов под № 36050).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в сфере государственного сортоиспытания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печатной продукции и информационных бюллетеней в области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сортовой агротехнике выращивания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производственных и преддипломных практик для учащихся и студентов высших и средних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аттестованным субъектам семеноводства по проведению лабораторных сортовых испытаний оригинальных, элитных семян и семян последующих репродукций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49" w:id="42"/>
    <w:p>
      <w:pPr>
        <w:spacing w:after="0"/>
        <w:ind w:left="0"/>
        <w:jc w:val="both"/>
      </w:pPr>
      <w:r>
        <w:rPr>
          <w:rFonts w:ascii="Times New Roman"/>
          <w:b w:val="false"/>
          <w:i w:val="false"/>
          <w:color w:val="000000"/>
          <w:sz w:val="28"/>
        </w:rPr>
        <w:t>
      ";</w:t>
      </w:r>
    </w:p>
    <w:bookmarkEnd w:id="42"/>
    <w:bookmarkStart w:name="z150" w:id="43"/>
    <w:p>
      <w:pPr>
        <w:spacing w:after="0"/>
        <w:ind w:left="0"/>
        <w:jc w:val="both"/>
      </w:pPr>
      <w:r>
        <w:rPr>
          <w:rFonts w:ascii="Times New Roman"/>
          <w:b w:val="false"/>
          <w:i w:val="false"/>
          <w:color w:val="000000"/>
          <w:sz w:val="28"/>
        </w:rPr>
        <w:t>
      раздел "Услуги, предоставляемые военными, специальными учебными заведениями органов национальной безопасности Республики Казахстан" изложить в следующей редакции:</w:t>
      </w:r>
    </w:p>
    <w:bookmarkEnd w:id="43"/>
    <w:bookmarkStart w:name="z151"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специальными учебными заведениями органов национальной безопасности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5"/>
          <w:p>
            <w:pPr>
              <w:spacing w:after="20"/>
              <w:ind w:left="20"/>
              <w:jc w:val="both"/>
            </w:pPr>
            <w:r>
              <w:rPr>
                <w:rFonts w:ascii="Times New Roman"/>
                <w:b w:val="false"/>
                <w:i w:val="false"/>
                <w:color w:val="000000"/>
                <w:sz w:val="20"/>
              </w:rPr>
              <w:t>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утвержденным решением национального научного совета (далее – ННС). К расходам относятся затраты на:</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служебные командировки - командировки, связанные с реализацией научного и (или) научно-технического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аренду оборудования и техники – расходы, связанные с арендой оборудования и техники, используемых в выполнении научных исследований по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налоги и другие обязательные платежи в бюджет (111,112, 114, 116, 121, 122, 124,131, 135, 136, 139, 144, 149, 153, 154, 156, 159, 161, 162, 169, 414, 416 и 419).</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утвержденным решением ННС. К расходам относятся затраты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служебные командировки – командировки, связанные с реализацией научной и (или) научно-технической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выполнения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(или) программного обеспечения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аренду оборудования и техники – расходы, связанные с арендой оборудования и техники, используемых в выполнении научных исследований по программе;</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p>
            <w:pPr>
              <w:spacing w:after="20"/>
              <w:ind w:left="20"/>
              <w:jc w:val="both"/>
            </w:pPr>
            <w:r>
              <w:rPr>
                <w:rFonts w:ascii="Times New Roman"/>
                <w:b w:val="false"/>
                <w:i w:val="false"/>
                <w:color w:val="000000"/>
                <w:sz w:val="20"/>
              </w:rPr>
              <w:t>
10) налоги и другие обязательные платежи в бюджет (111, 112, 113, 114, 116, 121, 122, 124, 131, 135, 136, 139, 144, 149, 153, 154, 156, 159, 161, 162, 169,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об образовании,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13 декабря 2018 года №101/қе "Об утверждении Правил оказания платных видов деятельности по реализации товаров (работ, услуг) военными, специальными учебными заведениями органов национальной безопасности Республики Казахстан и расходования ими денег от реализации товаров (работ, услуг)" (зарегистрирован в Реестре государственной регистрации нормативных правовых актов под № 17938).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46"/>
          <w:p>
            <w:pPr>
              <w:spacing w:after="20"/>
              <w:ind w:left="20"/>
              <w:jc w:val="both"/>
            </w:pPr>
            <w:r>
              <w:rPr>
                <w:rFonts w:ascii="Times New Roman"/>
                <w:b w:val="false"/>
                <w:i w:val="false"/>
                <w:color w:val="000000"/>
                <w:sz w:val="20"/>
              </w:rPr>
              <w:t>
1) приобретение расходных материалов, мебели, инвентаря;</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 программного обеспечения, включая их обслуживание;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приобретение литературы, учебных изданий, наглядных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оплату труда внештатных специалистов, привлекаемых для реализации дополнительных образовательных программ, организации профессионального образования,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издание учебных, научных и методических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повышение квалификации стажировки сотрудников, военнослужащих и работников учебных заведений органов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конференций, семинаров, круглых столов, спортивных соревнований, обучающих тренингов, олимпиад, юбилейных мероприятий, включая организацию питания и культурно-досуговых мероприятий, приобретение информационных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электронных цифровых ресурсов или права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организацию учебного процесса по дополнительным образовательным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аренда помещений,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сувенирной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текущий ремонт зданий и сооружений, обеспечивающих образовательную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транспортных средств, а также товаров и услуг по их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командировки, связанные с реализацией дополнительных образовательных программ, разработкой и реализацией учебно-методической литературы, издательской и (или) полиграфической продукции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услуг связи, рекламных и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18) оплата банковских услуг в рамках реализации дополнительных образовательных программ, разработки и реализации учебно-методической литературы, издательской и (или)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услуг по организации и проведению кофе-брейков в рамках реализации дополнительных образовательных программ;</w:t>
            </w:r>
          </w:p>
          <w:p>
            <w:pPr>
              <w:spacing w:after="20"/>
              <w:ind w:left="20"/>
              <w:jc w:val="both"/>
            </w:pPr>
            <w:r>
              <w:rPr>
                <w:rFonts w:ascii="Times New Roman"/>
                <w:b w:val="false"/>
                <w:i w:val="false"/>
                <w:color w:val="000000"/>
                <w:sz w:val="20"/>
              </w:rPr>
              <w:t>
20) оплата услуг специалистов (в том числе из числа кадрового состава учебных заведений органов национальной безопасности), привлекаемых для оказания платных образовательных услуг в рамках дополнительных образовательных программ (116, 131, 135, 136, 144, 149, 151, 152, 153, 154, 157, 158, 159, 161, 162, 169, 413,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учебно-методической литературы, издательской и (или)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92" w:id="47"/>
    <w:p>
      <w:pPr>
        <w:spacing w:after="0"/>
        <w:ind w:left="0"/>
        <w:jc w:val="both"/>
      </w:pPr>
      <w:r>
        <w:rPr>
          <w:rFonts w:ascii="Times New Roman"/>
          <w:b w:val="false"/>
          <w:i w:val="false"/>
          <w:color w:val="000000"/>
          <w:sz w:val="28"/>
        </w:rPr>
        <w:t>
      ";</w:t>
      </w:r>
    </w:p>
    <w:bookmarkEnd w:id="47"/>
    <w:bookmarkStart w:name="z193" w:id="48"/>
    <w:p>
      <w:pPr>
        <w:spacing w:after="0"/>
        <w:ind w:left="0"/>
        <w:jc w:val="both"/>
      </w:pPr>
      <w:r>
        <w:rPr>
          <w:rFonts w:ascii="Times New Roman"/>
          <w:b w:val="false"/>
          <w:i w:val="false"/>
          <w:color w:val="000000"/>
          <w:sz w:val="28"/>
        </w:rPr>
        <w:t>
      раздел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изложить в следующей редакции:</w:t>
      </w:r>
    </w:p>
    <w:bookmarkEnd w:id="48"/>
    <w:bookmarkStart w:name="z194"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0"/>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переподготовку кадров согласно Трудовому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расходы, в том числе услуги связи, включая интернет согласно подпункту 44) статьи 1 Закона Республики Казахстан "Об информатизации" (далее – Закон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товаров и услуг, включая обслуживание цифровых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6) установление дифференцированной доплаты работникам государственных учреждений органов внутренних дел в соответствии с Правилами поощрения работников субъектов здравоохранения, оказывающих медицинские услуги в рамках ГОБМП и (или) в системе ОСМС, утвержденным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(112, 114, 116, 121, 122, 124, 136, 141, 142, 144, 149, 151, 152, 153, 154, 158, 159, 161, 165,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70</w:t>
            </w:r>
            <w:r>
              <w:rPr>
                <w:rFonts w:ascii="Times New Roman"/>
                <w:b w:val="false"/>
                <w:i w:val="false"/>
                <w:color w:val="000000"/>
                <w:sz w:val="20"/>
              </w:rPr>
              <w:t xml:space="preserve"> Закона Республики Казахстан "О правоохранительной службе",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29 мая 2025 года № 393 "Об утверждении Правил осуществления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деньги от реализации которых остаются в их распоряжении, использования денег от реализации услуг, остающихся в их распоряжении" (зарегистрированный в Реестре государственной регистрации нормативных правовых актов под № 36174).</w:t>
            </w:r>
          </w:p>
        </w:tc>
      </w:tr>
    </w:tbl>
    <w:bookmarkStart w:name="z200" w:id="51"/>
    <w:p>
      <w:pPr>
        <w:spacing w:after="0"/>
        <w:ind w:left="0"/>
        <w:jc w:val="both"/>
      </w:pPr>
      <w:r>
        <w:rPr>
          <w:rFonts w:ascii="Times New Roman"/>
          <w:b w:val="false"/>
          <w:i w:val="false"/>
          <w:color w:val="000000"/>
          <w:sz w:val="28"/>
        </w:rPr>
        <w:t>
      ";</w:t>
      </w:r>
    </w:p>
    <w:bookmarkEnd w:id="51"/>
    <w:bookmarkStart w:name="z201" w:id="52"/>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в сфере военной медицины" изложить в следующей редакции:</w:t>
      </w:r>
    </w:p>
    <w:bookmarkEnd w:id="52"/>
    <w:bookmarkStart w:name="z202"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военной медицины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ГОБМП, утвержденного постановлением Правительства Республики Казахстан от 16 октября 2020 года №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4"/>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питание и оснащение мягким инвентарем пациентов в соответствии с Постановлением № 128;</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оплата неустойки, начисленной в соответствии с условиями договора закупа услуг в рамках ГОБМП 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15) оплата услуг медицинских цифровых систем, сервисного обслуживания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повышение квалификации врачей и среднего медицинского персонала</w:t>
            </w:r>
          </w:p>
          <w:p>
            <w:pPr>
              <w:spacing w:after="20"/>
              <w:ind w:left="20"/>
              <w:jc w:val="both"/>
            </w:pPr>
            <w:r>
              <w:rPr>
                <w:rFonts w:ascii="Times New Roman"/>
                <w:b w:val="false"/>
                <w:i w:val="false"/>
                <w:color w:val="000000"/>
                <w:sz w:val="20"/>
              </w:rPr>
              <w:t>
(112, 116, 121, 122, 124, 141, 142, 144, 149, 151, 152, 158, 159, 161, 165, 169 и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медицинской помощи в системе ОСМС, утвержденного постановлением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медицинской помощи, не включенные в перечни ГОБМП и (или) системы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бактериологического, вирусологического, иммунологического и паразитологического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замеру физических факторов, микроклимата, шума, вибрации,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химического анализа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радиометрическому исследованию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Дезинфекционные, дератизационные и дезинсекционные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5"/>
          <w:p>
            <w:pPr>
              <w:spacing w:after="20"/>
              <w:ind w:left="20"/>
              <w:jc w:val="both"/>
            </w:pPr>
            <w:r>
              <w:rPr>
                <w:rFonts w:ascii="Times New Roman"/>
                <w:b w:val="false"/>
                <w:i w:val="false"/>
                <w:color w:val="000000"/>
                <w:sz w:val="20"/>
              </w:rPr>
              <w:t>
Услуги по повышению</w:t>
            </w:r>
          </w:p>
          <w:bookmarkEnd w:id="55"/>
          <w:p>
            <w:pPr>
              <w:spacing w:after="20"/>
              <w:ind w:left="20"/>
              <w:jc w:val="both"/>
            </w:pPr>
            <w:r>
              <w:rPr>
                <w:rFonts w:ascii="Times New Roman"/>
                <w:b w:val="false"/>
                <w:i w:val="false"/>
                <w:color w:val="000000"/>
                <w:sz w:val="20"/>
              </w:rPr>
              <w:t>
квалификации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семинаров, мастер-классов, конференции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курсов подготовки сертифицированных тренеров и инструкторов по навыкам оказания первой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складского хранения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(сервисное) обслуживанию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20" w:id="56"/>
    <w:p>
      <w:pPr>
        <w:spacing w:after="0"/>
        <w:ind w:left="0"/>
        <w:jc w:val="both"/>
      </w:pPr>
      <w:r>
        <w:rPr>
          <w:rFonts w:ascii="Times New Roman"/>
          <w:b w:val="false"/>
          <w:i w:val="false"/>
          <w:color w:val="000000"/>
          <w:sz w:val="28"/>
        </w:rPr>
        <w:t>
      ".</w:t>
      </w:r>
    </w:p>
    <w:bookmarkEnd w:id="56"/>
    <w:bookmarkStart w:name="z221" w:id="57"/>
    <w:p>
      <w:pPr>
        <w:spacing w:after="0"/>
        <w:ind w:left="0"/>
        <w:jc w:val="both"/>
      </w:pPr>
      <w:r>
        <w:rPr>
          <w:rFonts w:ascii="Times New Roman"/>
          <w:b w:val="false"/>
          <w:i w:val="false"/>
          <w:color w:val="000000"/>
          <w:sz w:val="28"/>
        </w:rPr>
        <w:t>
      2.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w:t>
      </w:r>
    </w:p>
    <w:bookmarkEnd w:id="57"/>
    <w:bookmarkStart w:name="z222" w:id="58"/>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8"/>
    <w:bookmarkStart w:name="z223" w:id="5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59"/>
    <w:bookmarkStart w:name="z224" w:id="60"/>
    <w:p>
      <w:pPr>
        <w:spacing w:after="0"/>
        <w:ind w:left="0"/>
        <w:jc w:val="both"/>
      </w:pPr>
      <w:r>
        <w:rPr>
          <w:rFonts w:ascii="Times New Roman"/>
          <w:b w:val="false"/>
          <w:i w:val="false"/>
          <w:color w:val="000000"/>
          <w:sz w:val="28"/>
        </w:rPr>
        <w:t xml:space="preserve">
      3. Настоящий приказ вводится в действие с 12 июля 2026 года, за исключением абзаца пятого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по истечении десяти календарных дней после дня его первого официального опубликования.</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