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1f50" w14:textId="1c51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21 ноября 2011 года № 246 "Об установлении водоохранных зон и полос, режима их хозяйственного использования в пределах административных границ Алматинской области на реках Большая Алматинка, Тургень, Чилик, Аксай, Ащибулак, Шарын, Текес, Курты, Узынкаргалы, Копа, Жирен-Айгыр, Чемолган, Каркара, Ассы, Кастек, Таргап, Кукузек, Бельбулак, на Куртинском, Бартогайском водохранилищах"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марта 2026 года № 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полос, режима их хозяйственного использования в пределах административных границ Алматинской области на реках Большая Алматинка, Тургень, Чилик, Аксай, Ащибулак, Шарын, Текес, Курты, Узынкаргалы, Копа, Жирен-Айгыр, Чемолган, Каркара, Ассы, Кастек, Таргап, Кукузек, Бельбулак, на Куртинском, Бартогайском водохранилищах" (зарегистрировано в Реестре государственной регистрации нормативных правовых актов за № 2083)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18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Кукузек в пределах границ земельного участка (кадастровый номер 03-046-043-1696)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Алматинской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