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3b2c" w14:textId="fdc3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марта 2026 года № 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4 марта 2026 года № 46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 субсидий на субсидирование развития производства приоритетных культур, в том числе многолетних насаждений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тонну/гектар,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тонна. /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4 858 142,8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