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777" w14:textId="c91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19 декабря 2025 года № 403 "Об утверждении Каргалинского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февраля 2026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2026-2028 годы" от 19 декабря 2025 года № 403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4 209 734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2 835 655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3 918 622,6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291 276,4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-291 276,4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166 665,6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районном бюджете на 2026 – 2028 годы объемы субвенции, передаваемых из районного бюджета в бюджеты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– 332 273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2026 год поступление целевых текущих трансфертов и трансфертов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2026 год целевые текущие трансферты бюджетам сельских округов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10-1.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Учесть в расходах районного бюджета на 2026-2028 годы объемы целевых и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Учесть в расходах районного бюджета на 2026-2028 годы затраты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2835655,0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-291276,4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субвенций, передаваемых из районного бюджета в бюджеты села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Каргалинского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и обслуживание долга на приобретение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индивидуальных помощников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с 1 января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Каргалинского районного бюджета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наружной системы водоотведения по трем улицам в селе Бадамша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дамбы в близ реки Каргалы в селе Петропавловка Каргалинского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канала для изменения русла реки Кундызды"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улицы Абилкайыр хана в селе Шамши Калдаякова,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по улицам Муканова, Абая и Каргалы в селе Петропавловка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