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7817" w14:textId="f97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Байганинскому району</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11 марта 2026 года № 48</w:t>
      </w:r>
    </w:p>
    <w:p>
      <w:pPr>
        <w:spacing w:after="0"/>
        <w:ind w:left="0"/>
        <w:jc w:val="both"/>
      </w:pPr>
      <w:bookmarkStart w:name="z2"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статьям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Байганинскому району</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Байганинского района </w:t>
            </w:r>
            <w:r>
              <w:br/>
            </w:r>
            <w:r>
              <w:rPr>
                <w:rFonts w:ascii="Times New Roman"/>
                <w:b w:val="false"/>
                <w:i w:val="false"/>
                <w:color w:val="000000"/>
                <w:sz w:val="20"/>
              </w:rPr>
              <w:t>от 11 марта 2026 года № 48</w:t>
            </w:r>
          </w:p>
        </w:tc>
      </w:tr>
    </w:tbl>
    <w:bookmarkStart w:name="z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Байганинскому району</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Байганинскому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Байганинского района.</w:t>
      </w:r>
    </w:p>
    <w:bookmarkEnd w:id="6"/>
    <w:bookmarkStart w:name="z10"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(наружных стен,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2"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Байганинского района" (далее - Отдел) определяет перечень многоквартирных жилых домов, требующих проведения текущего или капитального ремонта наружных стен, кровли для придания единого архитектурного облика.</w:t>
      </w:r>
    </w:p>
    <w:bookmarkEnd w:id="9"/>
    <w:bookmarkStart w:name="z13" w:id="10"/>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Байганинского района.</w:t>
      </w:r>
    </w:p>
    <w:bookmarkEnd w:id="10"/>
    <w:bookmarkStart w:name="z14" w:id="11"/>
    <w:p>
      <w:pPr>
        <w:spacing w:after="0"/>
        <w:ind w:left="0"/>
        <w:jc w:val="both"/>
      </w:pPr>
      <w:r>
        <w:rPr>
          <w:rFonts w:ascii="Times New Roman"/>
          <w:b w:val="false"/>
          <w:i w:val="false"/>
          <w:color w:val="000000"/>
          <w:sz w:val="28"/>
        </w:rPr>
        <w:t>
      5. Отдел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 Байганинского района;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работ по реконструкции, ремонту наружных стен, кровли многоквартирного жилого дома.</w:t>
      </w:r>
    </w:p>
    <w:bookmarkStart w:name="z15"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bookmarkStart w:name="z16" w:id="13"/>
    <w:p>
      <w:pPr>
        <w:spacing w:after="0"/>
        <w:ind w:left="0"/>
        <w:jc w:val="both"/>
      </w:pPr>
      <w:r>
        <w:rPr>
          <w:rFonts w:ascii="Times New Roman"/>
          <w:b w:val="false"/>
          <w:i w:val="false"/>
          <w:color w:val="000000"/>
          <w:sz w:val="28"/>
        </w:rPr>
        <w:t>
      7. В случае принятия отрицательного решения на собрании работы по реконструкции, ремонту наружных стен, кровли многоквартирного жилого дома, направленные на придание единого архитектурного облика, не проводятся.</w:t>
      </w:r>
    </w:p>
    <w:bookmarkEnd w:id="13"/>
    <w:bookmarkStart w:name="z17"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8"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19" w:id="1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20" w:id="17"/>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направленной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17"/>
    <w:bookmarkStart w:name="z21"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2" w:id="19"/>
    <w:p>
      <w:pPr>
        <w:spacing w:after="0"/>
        <w:ind w:left="0"/>
        <w:jc w:val="both"/>
      </w:pPr>
      <w:r>
        <w:rPr>
          <w:rFonts w:ascii="Times New Roman"/>
          <w:b w:val="false"/>
          <w:i w:val="false"/>
          <w:color w:val="000000"/>
          <w:sz w:val="28"/>
        </w:rPr>
        <w:t>
      12. Приобретение работ по реконструкции,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3" w:id="20"/>
    <w:p>
      <w:pPr>
        <w:spacing w:after="0"/>
        <w:ind w:left="0"/>
        <w:jc w:val="both"/>
      </w:pPr>
      <w:r>
        <w:rPr>
          <w:rFonts w:ascii="Times New Roman"/>
          <w:b w:val="false"/>
          <w:i w:val="false"/>
          <w:color w:val="000000"/>
          <w:sz w:val="28"/>
        </w:rPr>
        <w:t>
      13. Приемка работ по реконструкции,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4" w:id="21"/>
    <w:p>
      <w:pPr>
        <w:spacing w:after="0"/>
        <w:ind w:left="0"/>
        <w:jc w:val="left"/>
      </w:pPr>
      <w:r>
        <w:rPr>
          <w:rFonts w:ascii="Times New Roman"/>
          <w:b/>
          <w:i w:val="false"/>
          <w:color w:val="000000"/>
        </w:rPr>
        <w:t xml:space="preserve"> Глава 4. Заключительное положение</w:t>
      </w:r>
    </w:p>
    <w:bookmarkEnd w:id="21"/>
    <w:bookmarkStart w:name="z25"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Байганинскому району, осуществляется из средств местного бюджета в соответствии с действующим законодательством Республики Казахстан.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