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4516" w14:textId="f854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областного маслихата от 11 декабря 2015 года № 349 "Об утверждении Правил благоустройства территорий городов и населенных пунктов Актюбинской области</w:t>
      </w:r>
    </w:p>
    <w:p>
      <w:pPr>
        <w:spacing w:after="0"/>
        <w:ind w:left="0"/>
        <w:jc w:val="both"/>
      </w:pPr>
      <w:r>
        <w:rPr>
          <w:rFonts w:ascii="Times New Roman"/>
          <w:b w:val="false"/>
          <w:i w:val="false"/>
          <w:color w:val="000000"/>
          <w:sz w:val="28"/>
        </w:rPr>
        <w:t>Решение Актюбинского областного маслихата области от 31 марта 2026 года № 315</w:t>
      </w:r>
    </w:p>
    <w:p>
      <w:pPr>
        <w:spacing w:after="0"/>
        <w:ind w:left="0"/>
        <w:jc w:val="both"/>
      </w:pPr>
      <w:bookmarkStart w:name="z2" w:id="0"/>
      <w:r>
        <w:rPr>
          <w:rFonts w:ascii="Times New Roman"/>
          <w:b w:val="false"/>
          <w:i w:val="false"/>
          <w:color w:val="000000"/>
          <w:sz w:val="28"/>
        </w:rPr>
        <w:t>
      Актюбинский областной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от 11 декабря 2015 года № 349 "Об утверждении Правил благоустройства территорий городов и населенных пунктов Актюбинской области" (зарегистрировано в Реестре государственной регистрации нормативных правовых актов № 4686) следующие изменения и дополнения:</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 благоустройства территорий городов и населенных пунктов Актюбинской области</w:t>
      </w:r>
      <w:r>
        <w:rPr>
          <w:rFonts w:ascii="Times New Roman"/>
          <w:b w:val="false"/>
          <w:i w:val="false"/>
          <w:color w:val="000000"/>
          <w:sz w:val="28"/>
        </w:rPr>
        <w:t>, утвержденных указанным решением:</w:t>
      </w:r>
    </w:p>
    <w:bookmarkEnd w:id="2"/>
    <w:bookmarkStart w:name="z5" w:id="3"/>
    <w:p>
      <w:pPr>
        <w:spacing w:after="0"/>
        <w:ind w:left="0"/>
        <w:jc w:val="both"/>
      </w:pPr>
      <w:r>
        <w:rPr>
          <w:rFonts w:ascii="Times New Roman"/>
          <w:b w:val="false"/>
          <w:i w:val="false"/>
          <w:color w:val="000000"/>
          <w:sz w:val="28"/>
        </w:rPr>
        <w:t xml:space="preserve">
      подпункт 11)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фонтаны, вазы для цветов, павильоны, беседки, скамьи, урны, оборудование и конструкции для игр детей и отдыха взрослого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6-1) следующего содержания:</w:t>
      </w:r>
    </w:p>
    <w:p>
      <w:pPr>
        <w:spacing w:after="0"/>
        <w:ind w:left="0"/>
        <w:jc w:val="both"/>
      </w:pPr>
      <w:r>
        <w:rPr>
          <w:rFonts w:ascii="Times New Roman"/>
          <w:b w:val="false"/>
          <w:i w:val="false"/>
          <w:color w:val="000000"/>
          <w:sz w:val="28"/>
        </w:rPr>
        <w:t>
      "6-1) произведения монументально-декоративного искусства – скульптуры, стелы,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декоративные композиции, обелиски, произведения монументальной живописи;";</w:t>
      </w:r>
    </w:p>
    <w:bookmarkStart w:name="z7" w:id="4"/>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"7) памятные и информационные доски (знаки);";</w:t>
      </w:r>
    </w:p>
    <w:bookmarkStart w:name="z8"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7</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"Параграф 7. Содержание садово-парковой мебели, садово-паркового оборудования и малых архитектурных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"67. Объекты садово-парковой мебели, садово-паркового оборудования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и малые архитектурные формы, а также подходы к ним очищают от снега и наледи.";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всеми собственниками квартир, нежилых помещений, при непосредственном совместном управлении либо субъектами управления объектом кондоминиума либо управляющим многоквартирным жилым домом самостоятельно или посредством привлечения специализированных организаций за счет собственных средств.".</w:t>
      </w:r>
    </w:p>
    <w:bookmarkStart w:name="z12"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СУЕНТАЕВА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