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e636cf" w14:textId="8e636c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дополнения в решение областного маслихата от 11 декабря 2015 года № 349 "Об утверждении Правил благоустройства территорий городов и населенных пунктов Актюбинской области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Актюбинского областного маслихата области от 31 марта 2026 года № 315. Утратило силу решением Актюбинского областного маслихата от 25 сентября 2026 года № 356. Зарегистрировано в Министерстве юстиции Республики Казахстан 28 сентября 2026 года № 39976</w:t>
      </w:r>
    </w:p>
    <w:p>
      <w:pPr>
        <w:spacing w:after="0"/>
        <w:ind w:left="0"/>
        <w:jc w:val="both"/>
      </w:pPr>
      <w:r>
        <w:rPr>
          <w:rFonts w:ascii="Times New Roman"/>
          <w:b w:val="false"/>
          <w:i w:val="false"/>
          <w:color w:val="ff0000"/>
          <w:sz w:val="28"/>
        </w:rPr>
        <w:t xml:space="preserve">
      Сноска. Утратило силу </w:t>
      </w:r>
      <w:r>
        <w:rPr>
          <w:rFonts w:ascii="Times New Roman"/>
          <w:b w:val="false"/>
          <w:i w:val="false"/>
          <w:color w:val="ff0000"/>
          <w:sz w:val="28"/>
        </w:rPr>
        <w:t>решением</w:t>
      </w:r>
      <w:r>
        <w:rPr>
          <w:rFonts w:ascii="Times New Roman"/>
          <w:b w:val="false"/>
          <w:i w:val="false"/>
          <w:color w:val="ff0000"/>
          <w:sz w:val="28"/>
        </w:rPr>
        <w:t xml:space="preserve"> Актюбинского областного маслихата от 25.09.2026 № 356 (вводится в действие по истечении десяти календарных дней после дня его первого официального опубликования).</w:t>
      </w:r>
    </w:p>
    <w:bookmarkStart w:name="z2" w:id="0"/>
    <w:p>
      <w:pPr>
        <w:spacing w:after="0"/>
        <w:ind w:left="0"/>
        <w:jc w:val="both"/>
      </w:pPr>
      <w:r>
        <w:rPr>
          <w:rFonts w:ascii="Times New Roman"/>
          <w:b w:val="false"/>
          <w:i w:val="false"/>
          <w:color w:val="000000"/>
          <w:sz w:val="28"/>
        </w:rPr>
        <w:t>
      Актюбинский областной маслихат РЕШИЛ:</w:t>
      </w:r>
    </w:p>
    <w:bookmarkEnd w:id="0"/>
    <w:bookmarkStart w:name="z3"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областного маслихата от 11 декабря 2015 года № 349 "Об утверждении Правил благоустройства территорий городов и населенных пунктов Актюбинской области" (зарегистрировано в Реестре государственной регистрации нормативных правовых актов № 4686) следующие изменения и дополнения:</w:t>
      </w:r>
    </w:p>
    <w:bookmarkEnd w:id="1"/>
    <w:bookmarkStart w:name="z4"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 благоустройства территорий городов и населенных пунктов Актюбинской области</w:t>
      </w:r>
      <w:r>
        <w:rPr>
          <w:rFonts w:ascii="Times New Roman"/>
          <w:b w:val="false"/>
          <w:i w:val="false"/>
          <w:color w:val="000000"/>
          <w:sz w:val="28"/>
        </w:rPr>
        <w:t>, утвержденных указанным решением:</w:t>
      </w:r>
    </w:p>
    <w:bookmarkEnd w:id="2"/>
    <w:bookmarkStart w:name="z5" w:id="3"/>
    <w:p>
      <w:pPr>
        <w:spacing w:after="0"/>
        <w:ind w:left="0"/>
        <w:jc w:val="both"/>
      </w:pPr>
      <w:r>
        <w:rPr>
          <w:rFonts w:ascii="Times New Roman"/>
          <w:b w:val="false"/>
          <w:i w:val="false"/>
          <w:color w:val="000000"/>
          <w:sz w:val="28"/>
        </w:rPr>
        <w:t xml:space="preserve">
      подпункт 11)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w:t>
      </w:r>
    </w:p>
    <w:bookmarkEnd w:id="3"/>
    <w:p>
      <w:pPr>
        <w:spacing w:after="0"/>
        <w:ind w:left="0"/>
        <w:jc w:val="both"/>
      </w:pPr>
      <w:r>
        <w:rPr>
          <w:rFonts w:ascii="Times New Roman"/>
          <w:b w:val="false"/>
          <w:i w:val="false"/>
          <w:color w:val="000000"/>
          <w:sz w:val="28"/>
        </w:rPr>
        <w:t>
      "11) малые архитектурные формы – объекты декоративного характера и практического использования (скульптуры, за исключением сооружений монументального искусства, устанавливаемые для увековечения памяти о выдающихся личностях, значимых исторических событиях, фонтаны, вазы для цветов, павильоны, беседки, скамьи, урны, оборудование и конструкции для игр детей и отдыха взрослого населения);";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дополнить подпунктом 6-1) следующего содержания:</w:t>
      </w:r>
    </w:p>
    <w:p>
      <w:pPr>
        <w:spacing w:after="0"/>
        <w:ind w:left="0"/>
        <w:jc w:val="both"/>
      </w:pPr>
      <w:r>
        <w:rPr>
          <w:rFonts w:ascii="Times New Roman"/>
          <w:b w:val="false"/>
          <w:i w:val="false"/>
          <w:color w:val="000000"/>
          <w:sz w:val="28"/>
        </w:rPr>
        <w:t>
      "6-1) произведения монументально-декоративного искусства – скульптуры, стелы, за исключением сооружений монументального искусства, устанавливаемые для увековечения памяти о выдающихся личностях, значимых исторических событиях, декоративные композиции, обелиски, произведения монументальной живописи;";</w:t>
      </w:r>
    </w:p>
    <w:bookmarkStart w:name="z7" w:id="4"/>
    <w:p>
      <w:pPr>
        <w:spacing w:after="0"/>
        <w:ind w:left="0"/>
        <w:jc w:val="both"/>
      </w:pPr>
      <w:r>
        <w:rPr>
          <w:rFonts w:ascii="Times New Roman"/>
          <w:b w:val="false"/>
          <w:i w:val="false"/>
          <w:color w:val="000000"/>
          <w:sz w:val="28"/>
        </w:rPr>
        <w:t xml:space="preserve">
      подпункт 7) </w:t>
      </w:r>
      <w:r>
        <w:rPr>
          <w:rFonts w:ascii="Times New Roman"/>
          <w:b w:val="false"/>
          <w:i w:val="false"/>
          <w:color w:val="000000"/>
          <w:sz w:val="28"/>
        </w:rPr>
        <w:t>пункта 4</w:t>
      </w:r>
      <w:r>
        <w:rPr>
          <w:rFonts w:ascii="Times New Roman"/>
          <w:b w:val="false"/>
          <w:i w:val="false"/>
          <w:color w:val="000000"/>
          <w:sz w:val="28"/>
        </w:rPr>
        <w:t xml:space="preserve"> изложить в следующей редакции:</w:t>
      </w:r>
    </w:p>
    <w:bookmarkEnd w:id="4"/>
    <w:p>
      <w:pPr>
        <w:spacing w:after="0"/>
        <w:ind w:left="0"/>
        <w:jc w:val="both"/>
      </w:pPr>
      <w:r>
        <w:rPr>
          <w:rFonts w:ascii="Times New Roman"/>
          <w:b w:val="false"/>
          <w:i w:val="false"/>
          <w:color w:val="000000"/>
          <w:sz w:val="28"/>
        </w:rPr>
        <w:t>
      "7) памятные и информационные доски (знаки);";</w:t>
      </w:r>
    </w:p>
    <w:bookmarkStart w:name="z8" w:id="5"/>
    <w:p>
      <w:pPr>
        <w:spacing w:after="0"/>
        <w:ind w:left="0"/>
        <w:jc w:val="both"/>
      </w:pPr>
      <w:r>
        <w:rPr>
          <w:rFonts w:ascii="Times New Roman"/>
          <w:b w:val="false"/>
          <w:i w:val="false"/>
          <w:color w:val="000000"/>
          <w:sz w:val="28"/>
        </w:rPr>
        <w:t xml:space="preserve">
      заголовок </w:t>
      </w:r>
      <w:r>
        <w:rPr>
          <w:rFonts w:ascii="Times New Roman"/>
          <w:b w:val="false"/>
          <w:i w:val="false"/>
          <w:color w:val="000000"/>
          <w:sz w:val="28"/>
        </w:rPr>
        <w:t>параграфа 7</w:t>
      </w:r>
      <w:r>
        <w:rPr>
          <w:rFonts w:ascii="Times New Roman"/>
          <w:b w:val="false"/>
          <w:i w:val="false"/>
          <w:color w:val="000000"/>
          <w:sz w:val="28"/>
        </w:rPr>
        <w:t xml:space="preserve"> изложить в следующей редакции:</w:t>
      </w:r>
    </w:p>
    <w:bookmarkEnd w:id="5"/>
    <w:p>
      <w:pPr>
        <w:spacing w:after="0"/>
        <w:ind w:left="0"/>
        <w:jc w:val="both"/>
      </w:pPr>
      <w:r>
        <w:rPr>
          <w:rFonts w:ascii="Times New Roman"/>
          <w:b w:val="false"/>
          <w:i w:val="false"/>
          <w:color w:val="000000"/>
          <w:sz w:val="28"/>
        </w:rPr>
        <w:t>
      "Параграф 7. Содержание садово-парковой мебели, садово-паркового оборудования и малых архитектурных форм";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67</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"67. Объекты садово-парковой мебели, садово-паркового оборудования и малых архитектурных форм, в том числе фонтаны, парковые павильоны, беседки, мостики, ограды, ворота, навесы, вазоны находятся в чистом и исправном состоянии и должны функционировать в соответствии со своим предназначением.";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71</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"71. В зимний период элементы садово-парковой мебели, садово- паркового оборудования и малые архитектурные формы, а также подходы к ним очищают от снега и наледи.";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157</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"157. Организация очистки крыш от снега и наледи, удаление снежных и ледяных наростов многоквартирных жилых домов осуществляются председателем объединения собственников имущества или всеми собственниками квартир, нежилых помещений, при непосредственном совместном управлении либо субъектами управления объектом кондоминиума либо управляющим многоквартирным жилым домом самостоятельно или посредством привлечения специализированных организаций за счет собственных средств.".</w:t>
      </w:r>
    </w:p>
    <w:bookmarkStart w:name="z12" w:id="6"/>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Председатель областного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СУЕНТАЕВА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