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e7c" w14:textId="d286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28 марта 2019 года № 237 и Министра индустрии и инфраструктурного развития от 29 марта 2019 года № 162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16 апреля 2026 года № 276 и Министра торговли и интеграции Республики Казахстан от 18 апреля 2026 года № 170-ОД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2019 года № 237 и Министра индустрии и инфраструктурного развития от 29 марта 2019 года № 162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18438)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относящихся к государственному регулированию, утверждҰнный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№162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№237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 к измерениям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мобильными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превышения установленной скорости движения;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суммарного люфта в рулевом управлении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светопропускания ветрового стекла и передних боковых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остаточной высоты рисунка протектора 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компонентов в отработавших газах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 от 0 до 5 %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0,03 %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CO2 от 0 до 16%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0,5 %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O2 от 0 до 21%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0,1 %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 от 0 млн-1 до 2000 %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10 млн-1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 при подсчете средней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превышения средней скорости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контролируемого участка (предельная дальность распознавания государственного регистрационного номерного знака) стационарных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100 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-нарушения правил остановки или стоянки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проезда на запрещающий сигнал светофора;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несоблюдения требований, предписанных дорожными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непредоставления преимущества в движении пешеходам или иным участникам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нарушения правил маневрирования.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расположения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места правонарушения. Является обязательным измерением для всех нарушений ПДД, для всех видов аппаратно-программных комплексов.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расстояния между габаритами транспортных средств по выступающим точкам и дорожной разметкой стационарными аппаратно-программными комплексами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нарушения несоблюдения требований, предписанных дорожной разметкой.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погрешности синхронизации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времени правонарушения. Является обязательным измерением для всех нарушений ПДД, для всех видов аппаратно-программных комплексов.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контролируемого участка (предельная дальность распознавания государственного регистрационного номерного знака) мобильных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нарушения правил остановки или стоянки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несоблюдения требований, предписанных дорожными знаками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