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3767" w14:textId="5bc3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Сандыктауском районе</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16 февраля 2026 года № А-2/34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Сандыктауском районе согласно приложения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Сандыктауского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Сандыктауского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16 февраля 2026 года</w:t>
            </w:r>
            <w:r>
              <w:br/>
            </w:r>
            <w:r>
              <w:rPr>
                <w:rFonts w:ascii="Times New Roman"/>
                <w:b w:val="false"/>
                <w:i w:val="false"/>
                <w:color w:val="000000"/>
                <w:sz w:val="20"/>
              </w:rPr>
              <w:t>№ А-2/34</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Сандыктауском районе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Сандыктауском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4)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12)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Start w:name="z7" w:id="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7.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8" w:id="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6"/>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13.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22.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23.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Start w:name="z9" w:id="7"/>
    <w:p>
      <w:pPr>
        <w:spacing w:after="0"/>
        <w:ind w:left="0"/>
        <w:jc w:val="left"/>
      </w:pPr>
      <w:r>
        <w:rPr>
          <w:rFonts w:ascii="Times New Roman"/>
          <w:b/>
          <w:i w:val="false"/>
          <w:color w:val="000000"/>
        </w:rPr>
        <w:t xml:space="preserve"> Глава 4. Порядок расчета и оплаты коммунальных услуг</w:t>
      </w:r>
    </w:p>
    <w:bookmarkEnd w:id="7"/>
    <w:p>
      <w:pPr>
        <w:spacing w:after="0"/>
        <w:ind w:left="0"/>
        <w:jc w:val="both"/>
      </w:pPr>
      <w:r>
        <w:rPr>
          <w:rFonts w:ascii="Times New Roman"/>
          <w:b w:val="false"/>
          <w:i w:val="false"/>
          <w:color w:val="000000"/>
          <w:sz w:val="28"/>
        </w:rPr>
        <w:t>
      24. Потребитель производит оплату за коммунальные услуги по единому платежному документу по форме согласно приложению к настоящим Правилам.</w:t>
      </w:r>
    </w:p>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Start w:name="z10" w:id="8"/>
    <w:p>
      <w:pPr>
        <w:spacing w:after="0"/>
        <w:ind w:left="0"/>
        <w:jc w:val="left"/>
      </w:pPr>
      <w:r>
        <w:rPr>
          <w:rFonts w:ascii="Times New Roman"/>
          <w:b/>
          <w:i w:val="false"/>
          <w:color w:val="000000"/>
        </w:rPr>
        <w:t xml:space="preserve"> Глава 5. Требования и порядок работы ЕРЦ</w:t>
      </w:r>
    </w:p>
    <w:bookmarkEnd w:id="8"/>
    <w:p>
      <w:pPr>
        <w:spacing w:after="0"/>
        <w:ind w:left="0"/>
        <w:jc w:val="both"/>
      </w:pPr>
      <w:r>
        <w:rPr>
          <w:rFonts w:ascii="Times New Roman"/>
          <w:b w:val="false"/>
          <w:i w:val="false"/>
          <w:color w:val="000000"/>
          <w:sz w:val="28"/>
        </w:rPr>
        <w:t>
      36.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37.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44.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47.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 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48.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p>
      <w:pPr>
        <w:spacing w:after="0"/>
        <w:ind w:left="0"/>
        <w:jc w:val="both"/>
      </w:pPr>
      <w:r>
        <w:rPr>
          <w:rFonts w:ascii="Times New Roman"/>
          <w:b w:val="false"/>
          <w:i w:val="false"/>
          <w:color w:val="000000"/>
          <w:sz w:val="28"/>
        </w:rPr>
        <w:t>
      49.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Start w:name="z11" w:id="9"/>
    <w:p>
      <w:pPr>
        <w:spacing w:after="0"/>
        <w:ind w:left="0"/>
        <w:jc w:val="left"/>
      </w:pPr>
      <w:r>
        <w:rPr>
          <w:rFonts w:ascii="Times New Roman"/>
          <w:b/>
          <w:i w:val="false"/>
          <w:color w:val="000000"/>
        </w:rPr>
        <w:t xml:space="preserve"> Глава 6. Порядок разрешения разногласий</w:t>
      </w:r>
    </w:p>
    <w:bookmarkEnd w:id="9"/>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 надлежащего качества.</w:t>
      </w:r>
    </w:p>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2" w:id="10"/>
    <w:p>
      <w:pPr>
        <w:spacing w:after="0"/>
        <w:ind w:left="0"/>
        <w:jc w:val="left"/>
      </w:pPr>
      <w:r>
        <w:rPr>
          <w:rFonts w:ascii="Times New Roman"/>
          <w:b/>
          <w:i w:val="false"/>
          <w:color w:val="000000"/>
        </w:rPr>
        <w:t xml:space="preserve"> Глава 7. Заключительные положения</w:t>
      </w:r>
    </w:p>
    <w:bookmarkEnd w:id="10"/>
    <w:p>
      <w:pPr>
        <w:spacing w:after="0"/>
        <w:ind w:left="0"/>
        <w:jc w:val="both"/>
      </w:pPr>
      <w:r>
        <w:rPr>
          <w:rFonts w:ascii="Times New Roman"/>
          <w:b w:val="false"/>
          <w:i w:val="false"/>
          <w:color w:val="000000"/>
          <w:sz w:val="28"/>
        </w:rPr>
        <w:t>
      55. Правила предоставления коммунальных услуг, разрабатываются местными исполнительными органами на основе Типовых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bookmarkStart w:name="z14" w:id="11"/>
    <w:p>
      <w:pPr>
        <w:spacing w:after="0"/>
        <w:ind w:left="0"/>
        <w:jc w:val="left"/>
      </w:pPr>
      <w:r>
        <w:rPr>
          <w:rFonts w:ascii="Times New Roman"/>
          <w:b/>
          <w:i w:val="false"/>
          <w:color w:val="000000"/>
        </w:rPr>
        <w:t xml:space="preserve"> Единый платежный документ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