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e28c" w14:textId="6e1e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26 декабря 2023 года № 13-95 "Об утверждении Правил оказания социальной помощи, установления ее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апреля 2026 года № 46-324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Зерендинском районе" от 26 декабря 2023 года № 13-95 (зарегистрировано в Реестре государственной регистрации нормативных правовых актов под № 8684-03),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 и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 и 11)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причинение ущерба гражданину (семье) либо его имуществу вследствие стихийного бедствия, не позднее трех месяцев. Предельный размер социальной помощи 200 (двести) месячных расчетных показателей,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пожара, не позднее трех месяцев. Предельный размер социальной помощи 200 (двести) месячных расчетных показателей, единовременно;";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 (семьям), имеющие социально значимые заболевания (болезнь, вызванная вирусом иммунодефицита человека (ВИЧ), злокачественные новообразования, туберкулез) 1 раз в год в размере 15 (пятнадцать) месячных расчетных показателей;";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исключить;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указанным в статьях 4, 5, 6, 7 и подпункте 3) статьи 8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оплате, 1 раз в год в размере 60 (шестьдесят) месячных расчетных показателей;";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10), 11) и 14) исключить;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лицам с инвалидностью первой группы, пользующимся аппаратом гемодиализа, ежемесячно в размере 15 (пятнадцать) месячных расчетных показателей;";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