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8aa8" w14:textId="9f58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мая 2026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за провоз груза внутри страны в попутном направлении (военно-транспортная и армейская авиация)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Джезказган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Учарал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Учарал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Джезказган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Учарал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тарифы указаны в тенге за 1 килограмм и оплата производится в тенге.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 на добавленную стоимость не включен в указанную стоимость.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стерильного груза включена в стоимость.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Страховка не включена в указанную стоимость.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за провоз груза между странами (военно-транспортная авиация)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ОбъединҰнные Арабские Эмираты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(Астана)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Монго-лия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тарифы указаны в тенге за 1 килограмм и оплата производится в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 на добавленную стоимость не включен в указанную стоимость.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стерильного груза включена в стоимость.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Страховка не включена в указанную стоимость.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Авиационные горюче-смазочные материалы и аэропортовые сборы за пределами Казахстана не включена в указанную стоимость.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другие страны самолетом А-400 тариф (цена) формируется из расчета за 1 кг на 1000 км в размере 260 тенге.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транспортно-логистические услуги, реализуемые в сфере воздушных перевозок военно-транспортной и армейской авиацией при привлечении иными государственными органами и организациями, а также в попутном направлении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Boeing 757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фрахтование воздушного судна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Ми-8МТ,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Ми-17В-5,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Ми-171Ш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фрахтование воздушного судна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Авиационные горюче-смазочные материалы не включены в указанную стоимость.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Аэропортовые сборы за пределами Казахстана, услуги бортового питания и Интернета не включены в указанную стоимость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оказание поисково-спасательных работ военно-транспортной и армейской авиацией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L-410UVP-E20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Ми-8МТ,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Ми-17В-5,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Ми-171Ш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услуги, реализуемые в сфере воздушных перевозок военно-транспортной авиацией для выполнения международных обязательств, на краткосрочные авиационные перевозки Организации Объединенных Наций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фрахтование воздушного судна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заключенным международным договорам и контрактов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заключенным международным договорам и контрактов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услуги по предоставлению взлетно-посадочной полосы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предоставлению взлетно-посадочной полосы, тенге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18 092 275,20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3 787 593,46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8 818 504,26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31 712 739,20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32 648 549,46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19 917 595,26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9 958 798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рассчитывается исходя из фактических затрат на ремонт и обслуживания взлетно-посадочной полосы с учетом совместного использования и необходимости совместного содержания.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