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984f" w14:textId="8319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 и об отмене приказа Министра обороны Республики Казахстан от 27 августа 2025 года № 1165 "Об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апреля 2026 года № 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августа 2025 года № 1165 "Об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обороны Республики Казахстан по тылу и военной инфраструктуре.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363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обеспечивается за счет бюджетных средств, а также в которых служебное жилище не подлежит приватизации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(области, городов республиканского значения,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военного городка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Дислоцируемая воинская часть (подразделение)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город 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жилой массив Железнодорожный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село Арнасай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68665, 44813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колледж МО РК имени Ш. Уалиханова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село Шамалган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Қонаев, село Шенгельды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Область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село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12740, 29108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село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село 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 районная эксплуатационная часть, 54380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село Ново-Ахмирово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27943, 64471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 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Заподно-Казахстанская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с. Жанажол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Область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 поселок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село Мамырсу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поселок городского типа 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30212, 21450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район, село Кызыларык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район, село Кулан, станция Луговая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Мерке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разъезд Кайнар село Сарыкемер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Айша биби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Спасск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Орта-Дересин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 село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город Шымкент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Подразделения Сил воздушной обороны, узла связи и воинские склады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городки подразделений Сил воздушной обороны,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городки узла связи и воинских складов,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военным городком понимается комплекс зданий и сооружений, расположенных на одном земельном участке и имеющих определенное целевое назначение для размещения военнослужащих, гражданского персонала и работников Вооруженных Сил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