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1b5" w14:textId="1c3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2025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104 730 137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88 517 019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10 831 787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4 933 637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18 900 130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19 455 562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555 432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-28 792 404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28 792 404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44 009 164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15 926 918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17.04.2026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городской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бюджетных изъятий</w:t>
      </w:r>
      <w:r>
        <w:rPr>
          <w:rFonts w:ascii="Times New Roman"/>
          <w:b w:val="false"/>
          <w:i w:val="false"/>
          <w:color w:val="000000"/>
          <w:sz w:val="28"/>
        </w:rPr>
        <w:t>, перечисляемых из бюджета города Уральска в областной бюджет в сумме 55 561 282 тысячи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2026 год предусмотрены целевые трансферты и кредиты из вышестоящего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1 500 000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1 500 000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3 404 570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75 283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1 476 454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41 309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фонда– 311 430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1 126 324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44 009 164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4 153 602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фонда– 20 400 000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 – 19 455 562 тысячи тенге.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объемы субвенции, передаваемой из городского бюджета бюджетам поселков, сельских округов на 2026 год в абсолютном выражении в сумме 429 450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 – 13 221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172 350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68 620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175 259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2026 год в размере 617 575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Уральского городского маслихата от 25 декабря 2025 года №25-3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129 984 313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95 398 263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83 737 009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52 086 729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5 687 676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32 488 914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32 488 914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150 494 405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-37 656 789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Уральского городского маслихата от 25 декабря 2025 года №25-3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106 637 833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137 057 001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