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9459" w14:textId="aaf9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2024 года № 18-6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марта 2025 года № 19-3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2024 года № 18-6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52 183 538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36 988 595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255 384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7 125 809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7 813 750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62 022 390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- 432 944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432 944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- 9 405 908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9 405 908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16 124 162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6 718 911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норматив распределения доходов, установленный областным маслихатом на 2025 год по следующим подклассам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– 50%;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– 19%;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–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– 19%;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– 19%.";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2025 год предусмотрены целевые трансферты из вышестоящего бюджета: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768 536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468 492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9 373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275 242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5 477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медицинским работникам организаций оказания специальных социальных услуг – 5 052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4 900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3 678 451 тысяча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911 167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2 767 284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3 366 735 тысяч тенге: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459 055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85 198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121 718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1 423 683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42 808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247 000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291 117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615 361 тысяча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80 795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16 124 162 тысячи тенге: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5 474 985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10 649 177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2025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бюджетов в общей сумме 1 687 383 тысячи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2025 год в размере 3 500 000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№19-3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№18-6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22 729 258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14 252 039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33 240 885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22 090 504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жидьем отдельных категорий граждан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450 450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