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429d" w14:textId="cca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Үлкен Нарын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19 декабря 2025 года № 18/191-VIII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Үлкен Нарын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3 351 982,0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1 695 464,0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1 603 355,0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3 351 982,0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186039,0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186039,0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районный бюджет по социальному налогу, индивидуальному подоходному налогу в размере 100 процентов.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17564,0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на 2026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целевые текущие трансферты и трансферты на развитие из областного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республиканского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реализацию мер социальной поддержки специалистам социальной сферы сельских населенных пунктов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резерв местного исполнительного органа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 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архитектур- 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 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2026год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2027год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2028год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 района Үлкен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"НарынКомхозСервис" приобретение автогрейдера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"НарынКомХозСервис" приобретение вакуумной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"НарынКомхозСервис" приобретение мусоровоза с боковой загрузкой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