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c141" w14:textId="bcb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декабря 2025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годы",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5447297,2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3589707,0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1730036,2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5669940,1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244213,9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125425,0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норматив распределения доходов на 2026 год по социальному налогу 8 %.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районном бюджете на 2026 год целевые трансферты из вышестоящего бюджета в сумме 1 484 832,0 тысячи тенге, в том числе целевые текущие трансферты - 181 844,0 тысячи тенге, трансферты на развитие – 1 302 988,0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кредиты из республиканского бюджета в сумме 125 425,0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резерв местного исполнительного органа района на 2026 год в сумме 86 154,0 тысячи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