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db90" w14:textId="755d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налога при применении специального налогового режима розничного налога на территории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июня 2025 года № 39/15-VIII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Курчумский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Курчум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