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0b21" w14:textId="b270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объектов налогообложения в городе Усть-Каменогорске и территории, переданной в его административное подчинение</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30 декабря 2025 года № 4130</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постановления см. в </w:t>
      </w:r>
      <w:r>
        <w:rPr>
          <w:rFonts w:ascii="Times New Roman"/>
          <w:b w:val="false"/>
          <w:i w:val="false"/>
          <w:color w:val="ff0000"/>
          <w:sz w:val="28"/>
        </w:rPr>
        <w:t>п. 4</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600 Налогового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Премьер-Министра-Министра искусственного интеллекта и цифрового развития Республики Казахстан от 17 октября 2025 года № 517/НҚ "Об утверждении Методики расчета коэффициента зонирования" (зарегистрирован в Реестре государственной регистрации нормативных правовых актов за № 215756), акимат города Усть-Каменогорска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объектов налогообложения в городе Усть-Каменогорске и территории, переданной в его административное подчинение,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0"/>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города Усть-Каменогорска" в установленном законодательством Республики Казахстан порядке обеспечить:</w:t>
      </w:r>
    </w:p>
    <w:bookmarkEnd w:id="0"/>
    <w:bookmarkStart w:name="z10" w:id="1"/>
    <w:p>
      <w:pPr>
        <w:spacing w:after="0"/>
        <w:ind w:left="0"/>
        <w:jc w:val="both"/>
      </w:pPr>
      <w:r>
        <w:rPr>
          <w:rFonts w:ascii="Times New Roman"/>
          <w:b w:val="false"/>
          <w:i w:val="false"/>
          <w:color w:val="000000"/>
          <w:sz w:val="28"/>
        </w:rPr>
        <w:t>
      1) размещение настоящего постановления на официальном интернет-ресурсе акимата города Усть-Каменогорска после его официального опубликования;</w:t>
      </w:r>
    </w:p>
    <w:bookmarkEnd w:id="1"/>
    <w:bookmarkStart w:name="z11" w:id="2"/>
    <w:p>
      <w:pPr>
        <w:spacing w:after="0"/>
        <w:ind w:left="0"/>
        <w:jc w:val="both"/>
      </w:pPr>
      <w:r>
        <w:rPr>
          <w:rFonts w:ascii="Times New Roman"/>
          <w:b w:val="false"/>
          <w:i w:val="false"/>
          <w:color w:val="000000"/>
          <w:sz w:val="28"/>
        </w:rPr>
        <w:t>
      2) принятие мер, вытекающих из настоящего постановления, предусмотренных законодательством Республики Казахстан.</w:t>
      </w:r>
    </w:p>
    <w:bookmarkEnd w:id="2"/>
    <w:bookmarkStart w:name="z12"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Усть-Каменогорска.</w:t>
      </w:r>
    </w:p>
    <w:bookmarkEnd w:id="3"/>
    <w:bookmarkStart w:name="z13" w:id="4"/>
    <w:p>
      <w:pPr>
        <w:spacing w:after="0"/>
        <w:ind w:left="0"/>
        <w:jc w:val="both"/>
      </w:pPr>
      <w:r>
        <w:rPr>
          <w:rFonts w:ascii="Times New Roman"/>
          <w:b w:val="false"/>
          <w:i w:val="false"/>
          <w:color w:val="000000"/>
          <w:sz w:val="28"/>
        </w:rPr>
        <w:t>
      4. Настоящее постановление вводится в действие с 1 января 2026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Усть-Каменогорска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"СОГЛАСОВАНО":</w:t>
            </w:r>
          </w:p>
          <w:p>
            <w:pPr>
              <w:spacing w:after="20"/>
              <w:ind w:left="20"/>
              <w:jc w:val="both"/>
            </w:pPr>
          </w:p>
          <w:p>
            <w:pPr>
              <w:spacing w:after="20"/>
              <w:ind w:left="20"/>
              <w:jc w:val="both"/>
            </w:pPr>
            <w:r>
              <w:rPr>
                <w:rFonts w:ascii="Times New Roman"/>
                <w:b/>
                <w:i w:val="false"/>
                <w:color w:val="000000"/>
                <w:sz w:val="20"/>
              </w:rPr>
              <w:t xml:space="preserve">Руководитель республиканского </w:t>
            </w:r>
          </w:p>
          <w:p>
            <w:pPr>
              <w:spacing w:after="20"/>
              <w:ind w:left="20"/>
              <w:jc w:val="both"/>
            </w:pPr>
            <w:r>
              <w:rPr>
                <w:rFonts w:ascii="Times New Roman"/>
                <w:b/>
                <w:i w:val="false"/>
                <w:color w:val="000000"/>
                <w:sz w:val="20"/>
              </w:rPr>
              <w:t>государственного учреждения</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"Управление государственных доходов </w:t>
            </w:r>
          </w:p>
          <w:p>
            <w:pPr>
              <w:spacing w:after="20"/>
              <w:ind w:left="20"/>
              <w:jc w:val="both"/>
            </w:pPr>
            <w:r>
              <w:rPr>
                <w:rFonts w:ascii="Times New Roman"/>
                <w:b/>
                <w:i w:val="false"/>
                <w:color w:val="000000"/>
                <w:sz w:val="20"/>
              </w:rPr>
              <w:t xml:space="preserve">по городу Усть-Каменогорск Департамента </w:t>
            </w:r>
          </w:p>
          <w:p>
            <w:pPr>
              <w:spacing w:after="20"/>
              <w:ind w:left="20"/>
              <w:jc w:val="both"/>
            </w:pPr>
            <w:r>
              <w:rPr>
                <w:rFonts w:ascii="Times New Roman"/>
                <w:b/>
                <w:i w:val="false"/>
                <w:color w:val="000000"/>
                <w:sz w:val="20"/>
              </w:rPr>
              <w:t>государственных доходов по Восточно-Каз</w:t>
            </w:r>
            <w:r>
              <w:rPr>
                <w:rFonts w:ascii="Times New Roman"/>
                <w:b/>
                <w:i w:val="false"/>
                <w:color w:val="000000"/>
                <w:sz w:val="20"/>
              </w:rPr>
              <w:t xml:space="preserve">ахстанской </w:t>
            </w:r>
          </w:p>
          <w:p>
            <w:pPr>
              <w:spacing w:after="20"/>
              <w:ind w:left="20"/>
              <w:jc w:val="both"/>
            </w:pPr>
            <w:r>
              <w:rPr>
                <w:rFonts w:ascii="Times New Roman"/>
                <w:b/>
                <w:i w:val="false"/>
                <w:color w:val="000000"/>
                <w:sz w:val="20"/>
              </w:rPr>
              <w:t>области Комитета государственных доходов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 Министерства финансов Республики Казахстан" </w:t>
            </w:r>
          </w:p>
          <w:p>
            <w:pPr>
              <w:spacing w:after="20"/>
              <w:ind w:left="20"/>
              <w:jc w:val="both"/>
            </w:pPr>
            <w:r>
              <w:rPr>
                <w:rFonts w:ascii="Times New Roman"/>
                <w:b/>
                <w:i w:val="false"/>
                <w:color w:val="000000"/>
                <w:sz w:val="20"/>
              </w:rPr>
              <w:t>"____"__________2025 года</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_____________________ А. Кайырбек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Усть-Каменогорска </w:t>
            </w:r>
            <w:r>
              <w:br/>
            </w:r>
            <w:r>
              <w:rPr>
                <w:rFonts w:ascii="Times New Roman"/>
                <w:b w:val="false"/>
                <w:i w:val="false"/>
                <w:color w:val="000000"/>
                <w:sz w:val="20"/>
              </w:rPr>
              <w:t>от 30 декабря 2025 года № 4130</w:t>
            </w:r>
          </w:p>
        </w:tc>
      </w:tr>
    </w:tbl>
    <w:bookmarkStart w:name="z17" w:id="5"/>
    <w:p>
      <w:pPr>
        <w:spacing w:after="0"/>
        <w:ind w:left="0"/>
        <w:jc w:val="left"/>
      </w:pPr>
      <w:r>
        <w:rPr>
          <w:rFonts w:ascii="Times New Roman"/>
          <w:b/>
          <w:i w:val="false"/>
          <w:color w:val="000000"/>
        </w:rPr>
        <w:t xml:space="preserve"> Коэффициенты зонирования, учитывающие месторасположение объектов налогообложения в городе Усть-Каменогорске и территории, переданной в его административное подчинение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частных домов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гаражей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дачного массива южнее аэропорта, за исключением дач, юго-восточнее массива Прохладный. Территория массива Старая Согра от берега реки Ульба до улицы Охотской. С улицы Охотской на север по переулку Вешнему до пересечения с улицей Дружинников, до пересечения с улицей Целиноградской, до улицы Согринской. По улице Согринской до жилого массива Новый подхоз, Старый подхоз. Жилой массив Новая гавань, дачный массив, район жилого массива Мельзавод 10-й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полуострова Комендантский. Территория города, граничащая с северной стороны с промышленным узлом: от улицы Бажова по границе территории промышленного предприятия до проспекта Нурсултана Назарбаева, по проспекту Нурсултана Назарбаева до пересечения с улицей Белинского, с улицей Михаэлиса, до улицы Алматинской. Северо-восточная сторона до проспекта Шәкәрім, по проспекту Шәкәрім до пересечения с улицей Бориса Александрова, до переулка Саратовского, улицы Р. Люксембург, до улицы Тихой, исключая многоэтажную застройку. По левому берегу реки Ульба до проспекта Абая, на юг до пересечения с улицей Тракторной, до промышленного узла. Территория массива Прохладный, район частного сектора. Вдоль переулка 2-ой Паровозный, до улицы Деповской, до пересечения с переулком 1-ый Паровозный, до улицы Элеваторной, до улицы Грейдерной, до улицы Вытяжной тупик, по улице Нефтяной до переулка Западный, до проспекта Нурсултана Назарбаева. По проспекту Нурсултана Назарбаева до улицы Мостовой, по улице Сафонова до улицы Гурьевской, по переулку Целинный до улицы Пограничной по реке Иртыш. Вдоль правого берега реки Иртыш до дачного массива южнее аэропорта, до района Прохладный. Территория жилого района Защита, промышленного узла с юго-восточной стороны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района Новая Согра в границах улиц Охотская (Согринская) до переулка Вешнего, до улицы Егорова, до улицы Дмитрия Менделеева. Территория дачного массива северо-западнее поселка Мирный. Территория дачного массива юго-западнее поселка Мирный. Территория дачного массива на правом берегу реки Иртыш южнее жилого массива Аблакетка, территория товарищества с ограниченной ответственностью "Усть-Каменогорский конденсаторный завод". Территория жилых массивов в районах аэропорта, Кирзавода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жилого массива Мирный и территория акционерного общества "Востокмашзавод". Вдоль проспекта Нурсултана Назарбаева до пересечения с бульваром Гагарина, вдоль парка Металлургов, исключая его территорию, до улицы Виноградова, до пересечения с улицей Белинского, по улице Михаэлиса до улицы Алматинской, до улицы 30-й Гвардейской Дивизии, улицы Карбышева, вдоль правого берега реки Иртыш до улицы Актюбинской, вдоль дачного массива до улицы Дружбы, до улицы Целинной, до улицы Сафонова, по переулку Лопатинский до проспекта Нурсултана Назарбаева. Территория жилого массива Красина, гаражные кооперативы. Территория северо-восточной части жилого массива Аблакетка в пределах улицы Северной, дачные массивы в районе Лесхоза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левого берега реки Иртыш в границах улицы Иртышской до пересечения с проспектом Каныша Сатпаева до 14 жилого района, вдоль границы поселка Металлург до улицы Прииртышской, по левому берегу реки Иртыш. Территория промышленных предприятий, дачного массива в северо-восточной части города в границах улицы Согринской, улицы Егорова, до улицы Дмитрия Менделеева, до переулка Вешнего. Территория жилого массива Шмелев лог в границах улицы Мызы до побережья реки Ульба. Территория промышленных объектов с южной стороны от железной дороги в границах улицы Деповской до 1-го Паровозного переулка, до улицы Нефтяной. Территория жилого массива Лесозавод от правого берега реки Иртыш до дачного массива восточнее массива Лесозавод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производственных объектов в районе акционерного общества "Усть-Каменогорский арматурный завод", поселок Загородный, дачный массив северо-западнее массива Старая Согра. Территория жилого массива 14 жилого района (район КШТ), 23-жилого района, дачные массивы. Территория жилого массива Аблакетка в границах улицы Северной, дачного массива до правого берега реки Иртыш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поселка Металлург, поселка Ульбинский, до левого берега реки Иртыш, исключая дачный массив, территория Северного промышленного узла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центральной части города микрорайона Стрелка в границах набережной имени Е.П. Славского до улицы А. Протозанова, до улицы Мызы. По улице Новаторов, по улице Кабанбая батыра, вдоль правого берега реки Иртыш до набережной имени Е.П. Славского. Центральная часть города в районе Дворца Спорта, территория от проспекта Абая до улицы Космической, от проспекта Шәкәрім до улицы Бориса Александрова, до левого берега реки Ульба. Вдоль берега до улицы Астаны, территория Студенческого городка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 города Усть-Каменогорска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Меновное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вдоль улицы Максима Горького до переулка Шоссейного, на востоке вдоль оптово-распределительного центра в сторону улицы Жибек жолы, на юге вдоль улицы Юбилейной, на западе до автомобильной дороги в объезд села Меновное, вдоль переулка Конечный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часть зоны граничит с протокой реки Иртыш, восточная и южная часть вдоль улицы Ярославской, западная часть вдоль садоводческого товарищества "Восход"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вдоль реки Иртыш, на востоке вдоль общественно-деловой застройки, южная и юго-западная часть вдоль застройки, на северо-западе вдоль садоводческого товарищества "Восход"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Ново-Троицкое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и северо-западе садоводческие товарищества "Муравей-2", "Залив-1", по восточной части вдоль Усть-Каменогорского водохранилища, на юге лесопарковая зона, на западе территория для ведения товарного сельскохозяйственного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Ново-Явленка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и северо-востоке вдоль реки Иртыш, на востоке граничит с землями крестьянских хозяйств, на юге и юго-западе вдоль 28 жилого района, на западе вдоль территории прудового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и западе вдоль крестьянских хозяйств, на северо-востоке по границе села Ново-Явленка, на юге вдоль села Прудхоз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Ново-Ахмирово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территория садоводческого товарищества "Звездный", на востоке территория садоводческого товарищества "Подснежник-2", на юге военный городок № 1, на западе жилая застройка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территория садоводческого товарищества "Звездный", на востоке и юго-востоке территория села Ново-Ахмирово и военный городок, на юге территория жилой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Ахмирово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улицы Гайсы Аязбаева, вдоль улицы Мелиораторов, на севере и северо-востоке вдоль садоводческих товариществ "Экология", "Родничок", "Заря", "Изумруд", на юге и юго-западе вдоль улицы К. Кондыбаева до улицы Т. Нукаева, далее вдоль улицы Молодежной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 улицы Молодежной, северо-восточная граница проходит вдоль улицы К. Кондыбаева, на востоке вдоль насосной станции I подъема, на юге и юго-востоке проходит улица Ш. Калдаякова, на западе и юго-западе вдоль улиц Молодежной и Игілік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вдоль улицы Гайсы Аязбаева, на северо-востоке по улице К. Кондыбаева, Ш. Калдаякова, на востоке вдоль садоводческих товариществ "Ветеран-Инвестор", "Витязь", "Рябинушка", на юге и юго-западе вдоль садоводческого товарищества "Звездный", на западе вдоль дороги на село Ново-Ахмирово до улицы Ш. Калдаякова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Самсоновка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северной, далее по восточной и южной части граничит с лесопарками, на западе вдоль дороги на села Таргын и Самарское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часть зоны вдоль протоки реки Аблакетка, а также с территорией лесопарка, восточная и южная часть вдоль жилой застройки, западная вдоль садоводческого товарищества "Мелиоратор" и проходит вдоль реки Аблакетка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Прудхоз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расположено непосредственно само прудовое хозяйство, на северо-востоке вдоль села Ново-Явленка, на востоке вдоль 28-жилого района, на юге вдоль крестьянских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Радужное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общественно-деловая застройка, застройка жилыми домами, на востоке граница проходит вдоль улицы Бобровская, на юге территория промышленно-производственных и коммунально-складских предприятий, западная часть вдоль лесопарков и граничит с селом Солнечное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28-жилой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границу 28-жилого района между 1, 2 очередью строительства и 3-очередью строительства разделяет улица имени Гайсы Аязбаева, на востоке, юге и западе вдоль земель для ведения крестьянского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Комсомольское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вдоль территории садоводческих товариществ "Надежда" и "Урожай", начиная с восточной части до западной части территория граничит с лесопарками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садоводческих товариществ "Вега", "Лесовод", "Лесное", "Красинец", "Надежда", "Пенсионер", "Урожай", "Эталон", "Эдельвейс"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Жыланды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и северо-востоке вдоль реки Иртыш, юго-восточная часть прилегает к лесопарку, на юге вдоль садоводческих товариществ "Медик-1", "Медик-2", "Медик-3", юго-западная и вся западная часть граничит с 16-жилым районом имени А. Куленова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