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274" w14:textId="dd2e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"Центр активного долголетия" отдела занятости и социальных программ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5 сентября 2025 года №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Положение коммунального государственного учреждения "Центр активного долголетия" отдела занятости и социальных программ Сайрамского района согласно приложения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занятости и социальных программ Сайрамского района"обеспечить регистрацию настоящего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Сайрамского района от 20 июня 2024 года №243 "О реорганизации коммунального государственного учреждения "Центр социального обслуживания" отдела занятоси и социальных программ Сайрамского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курирующего заместителя акима Сайрамского района.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Вр.и.о акима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активного долголетия" отдела занятости и социальных программ Сайрамского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Коммунальное государственное учреждение "Центр активного долголетия" Сайрамского районного отдела занятости и социальных программ является некоммерческой организацией, имеющей статус юридического лица, созданного в организационно-правовой форме учреждения для осуществления функций.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приказом министра труда и социальной защиты населения Республики Казахстан от 22.02.2021 года № 47 "Об утверждении плана мероприятий "Активное долголетие" до 2025 года по улучшению положения граждан старшего поколения" и другими действующими законодательными актами.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Коммунальное государственное учреждение "Центр активного долголетия" отдела занятости и социальных программ Сайрамского района, (далее – Учреждение) является некоммерческой организацией, финансируемая из местного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отдела занятости и социаьлных программ Сайрамского района является правоприемником коммунального государственного учреждение "Центр активного долголетия" отдела занятости и социальных программ Сайрамского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Государственное учреждение создано постановлением Акимата Сайрамского района от 20 июня 2024 года № 243.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Учредителем государственного учреждения является акимат Сайрамского района.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органом, осуществляющим функции субъекта права в отношении имущества связанного с ним государственного учреждения, является государственное учреждение "Сайрамский районный отдел занятости и социальных программ".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 нахождения государственного учреждения: Республика Казахстан, Туркестанская область, 160800, Сайрамский район, село Аксу, улица Б. Саттарханова № 60.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Коммунальное государственное учреждение не может создавать, а также выступать учредителем другого юридического лица, за исключением случаев, предусмотренных законами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Коммунальное государственное учреждение отвечает по своим обязательствам находящимися на его гарантии денежными средствами. В случае недостаточности денежных средств у государственного учреждения, учредитель несет субсидиарную ответственность по его обязательствам за счет средств соответствующего бюджета. 12. 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коммунального учреждения на территории района является социальные услуги за счет средств местного бюджета.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цели деятельности центра: улучшение условий жизни граждан пенсионного возраста и лиц старше 18 лет с инвалидностью, не имеющих психоневрологических отклонений и способных к самообслуживанию, путем создания благоприятных условий для здорового образа жизни и здоровья, предоставления комплекса медицинских, психологических, бытовых, юридических услуг и организации досуга для людей, сохранивших способность к самообслуживанию и активным движениям. Целью является стимулирование их активного образа жизни и улучшение физического и психологического состояния, а также создание инфраструктуры для систематической культурно-досуговой работы, направленной на содействие их вовлечению в активную интеллектуальную, творческую, общественную деятельность и преемственность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создание доступных условий для социализации пенсионеров и граждан старше 18 лет с инвалидностью, не имеющих психоневрологических отклонений и способных к самообслуживанию, придерживаясь концепции "Активное долголетие";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предоставление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разработка индивидуальных планов активного долголетия;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профилактика социальных рисков и сложных жизненных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сбор базы данных для анализа потребностей целевых групп и контроля эффективности деятельности центра.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условия предоставления, прекращения (приостановления) специальных социальных услуг лицам старше 18 лет имеющих инвалидность без психоневрологических отклонений способных к самообслуживанию и пенсионерам;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системной культурно-досуговой работы, направленной на улучшение качества жизни пенсионеров, граждан старше 18 лет с инвалидностью, не имеющих психоневрологических отклонений и способных к самообслуживанию, а также вовлечение их в активную интеллектуальную, творческую, общественную деятельность и преемственность поколений;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информационно-консультационной, социальной, правовой и психологической поддержки пенсионерам и лицам старше 18 лет имеющих инвалидность без психоневрологических отклонений способных к самообслуживанию.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предоставление оздоровительных мероприятий немедицинского характера пенсионерам и лицам старше 18 лет имеющих инвалидность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предоставление социально-психологических услуг пенсионерам и лицам старше 18 лет имеющих инвалидность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предоставление социально-правовых услуг пенсионерам и лицам старше 18 лет имеющих инвалидность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возможной трудовой деятельности лиц с инвалидностью без психоневрологических отклонений старше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организацию кружков художественной самодеятельности, направленную на удовлетворение социально-культурных и духовных потребностей пенсионеров и лиц старше 18 лет имеющих инвалидность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активного образа жизни пенсионеров и лиц старше 18 лет имеющих инвалидность без психоневрологических отклонений способных к самообслуживанию.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 деятельности коммунального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специальных социальных услуг гражданам пенсионного возраста и лицам старше 18 лет имеющим инвалидность без психоневрологических отклонений, сохранившим способность к самообслуживанию.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деятельности коммунального государственного учреждения 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осуществлять во взаимодействии с органами здравоохранения, образования и другими государственными органами учет граждан пенсионного возраста и лиц старше 18 лет, являющихся инвалидами, не имеющих психоневрологических расстройств и нуждающихся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социальное изучение граждан пенсионного возраста и лиц с инвалидностью, изучение окружающей микросреды с целью определения их интересов и потребностей.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досуга граждан пенсионного возраста и лиц с инвалидностью без психоневрологических отклонений старше 18 лет (игры,чтение книг, газет, журналов, их обсуждение, организация библиотечного обслуживания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просветительско-профилактической работы с гражданами пенсионного возраста и лицами с инвалидностью без психоневрологических отклонений старше 18 лет путем организации индивидуальных и групповых мероприятий (семинаров, тренингов и мастер классов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специальной медицинской помощи и оказание медицинских услуг, а именно оказание первой медицинской помощи в экстренных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помощи по вопросам предоставления консультативных, в том числе государственных социальных и специальных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оказание консультации в оформлении документов на оказание адресной социальной помощи семьям с инвалидностью без психоневрологических отклонений старше 18 лет из числа малообеспеченных;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содействие в обеспечении протезно-ортопедическими изделиями, техническими и иными средствами согласно индивидуальной программы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доступных условий для социализации граждан пенсионного возраста и лиц старше 18 лет с инвалидностью без психоневрологических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инфраструктуры систематической культурно-досуговой деятельности, направленной на улучшение качества жизни граждан старше 18 лет, не имеющих психоневрологических отклонений, лиц с инвалидностью и пенсионеров, а также на их вовлечение в активную интеллектуальную, творческую, общественную деятельность и преемственность поколений. 18. Коммунальное государственное учреждение для достижения цели осуществляет 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социально-бытовые;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социально-медицинские;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социально-психологические;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социально-педагогические;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 культурная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социально-экономические;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социально-правовые;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социально-трудовые.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Коммунальному государственному учреждению запрещается осуществлять деятельность, а также совершать сделки, не отвечающие предмету и целям его деятельности, утвержденным настоящими Правилами.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Управление коммунальным государственным учреждением осуществляется местным исполнительным органом.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Уполномоченный орган соответствующей отрасли в установленном законом порядке осуществляет следующие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закрепляет за коммунальным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утверждает индивидуальный план финансирования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контроль за сохранностью имущества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устав (положение) коммунального государственного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утверждает структуру и предельную штатную численность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Руководитель коммунального государственного учреждения назначается на должность и освобождается от должности Сайрамским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Принимает на работу и увольняет работников центра, кроме работников, назначаемых уполномоченным органом соответствующей отрасли или местным исполнительным органом.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Руководитель Центра действует по принципу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Руководитель коммунального государственного учреждения организует и руководит работой коммунального государственного учреждения, непосредственно подчиняется местному исполнительному органу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Руководитель коммунального государственного учреждения действует по принципу единоначалия и самостоятельно решает все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Действие руководителя коммунального государственного учреждения, направленное на осуществление государственным учреждением деятельности, не предусмотренной уставом, является нарушением трудовых обязательств и влечет за собой дисциплинарную и материальную ответственность.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Руководитель коммунального государственного учреждения в установленном законодательством Республики Казахстан порядке: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коммунального государственного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принимает на работу и увольняет с работы сотрудников коммунального государственного учреждения, а заместителя по соглашению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применяет меры поощрения и налагает дисциплинарные взыскания на сотрудников коммунального государственного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определяет обязанности и круг полномочий своего заместителя (заместителей) и иных руководящих сотрудников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коммунального государственного учреждения составляют активы юридического лица, стоимость которых отражается на его балансе.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имущество, переданное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приобретенное в ходе своей деятельности (включая денежные доходы);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финансовых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Коммунальное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Деятельность коммунального государственного учреждения финансируется из бюджета местным исполнительным органом.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Проверка и ревизия финансово-хозяйственной деятельности коммунального государственного учреждения осуществляются местным исполнительным органом в порядке, установленном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34. Режим работы коммунального государственного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Внесение изменений и дополнений в учредительные документы коммунального государственного учреждения осуществляется по решению местного исполнительного органа и регистрируется в территориальных органах регистрации в соответствии с Законом Республики Казахстан "О государственной регистрации юридических лиц и учетной регистрации филиалов и представительств".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Реорганизация и ликвидация коммунального государственного учреждения производится по решению местного исполнительного органа.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юридическое лицо ликвидируется также по другим основаниям, предусмотренными законодательными актами.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Реорганизацию и ликвидацию коммунального государственного учреждения осуществляет местный исполнительный орган.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Имущество ликвидированного коммунального государственного учреждения,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Оставшиеся после удовлетворения требований кредиторов данного учреждения денежные средства, включая средства, полученные в результате реализации имущества ликвидируемого государственного коммунального учреждения, зачисляются в доход соответствующего бюджета.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