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2e07" w14:textId="96a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декабря 2025 года № 36/202-VIII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8 204 250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35 668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1 959 905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8 204 250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475 750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- 286 627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286 627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налоговых поступлений в областной бюджет в размере 50 процентов от социального налога, не облагаемого у источника выплаты.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общий объем бюджетных изъятий из районного бюджета в областной бюджет в размере 1 413 345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размеры трансфертый, передаваемых из районного бюджета в бюджеты города районного значения, сельских округов на 2026 год в сумме 47 731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тысяч тенге.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2026 год в размере – 26 484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2026-2028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№36/202-VIIІ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уголовного правосудия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 занятности и социальных программ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социальнойадаптации и реабилитациии лиц отбывщих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№36/202-VIIІ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уголовного правосудия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 занятности и социальных программ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социальнойадаптации и реабилитациии лиц отбывщих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№36/202-VIIІ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уголовного правосудия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 занятности и социальных программ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социальнойадаптации и реабилитациии лиц отбывщих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№36/202-VIIІ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районных бюджетных программ развития на 2026-2028 годы,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