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7328" w14:textId="a7b7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2024 года № 22/134-VIIІ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10 июля 2025 года № 30/182-VIII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2025-2027 годы" от 24 декабря 2024 года №22/134-VIІІ (зарегистрировано в Реестре государственной регистрации нормативных правовых актов под №204775)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11 042 933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4 227 607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103 350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6 650 255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11 271 981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333 060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562 108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229 048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  корпоративному подоходному налогу с юридических лиц, за исключением поступлений от субъектов крупного-предпринимательства и организаций нефтяного сектора 50 процентов, по индивидуальному подоходному налогу с доходов облагаемых у источника выплату 57,4 процентов, по индивидуальному подоходному налогу с доходов иностранных граждан, не облагаемых у источника выплаты 37,1 процентов и по социальному налогу в размере 49,9 процентов в областной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2025 год в размере – 37 832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№30/182-VIIІ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