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59a7" w14:textId="ac75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2024 года № 22/134-VIIІ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10 июля 2025 года № 30/182-VIII.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районном бюджете на 2025-2027 годы" от 24 декабря 2024 года №22/134-VIІІ (зарегистрировано в Реестре государственной регистрации нормативных правовых актов под №204775)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11 042 933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4 227 607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103 350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6 650 255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11 271 981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333 060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489 534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- 562 108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562 108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489 534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156 474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229 048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  корпоративному подоходному налогу с юридических лиц, за исключением поступлений от субъектов крупного-предпринимательства и организаций нефтяного сектора 50 процентов, по индивидуальному подоходному налогу с доходов облагаемых у источника выплату 57,4 процентов, по индивидуальному подоходному налогу с доходов иностранных граждан, не облагаемых у источника выплаты 37,1 процентов и по социальному налогу в размере 49,9 процентов в областной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на 2025 год в размере – 37 832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2025 года №30/182-VIIІ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№22/134-VIIІ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