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fd7f" w14:textId="a61f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Байдибек от 4 января 2023 года № 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района Байдибек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6 октября 2025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Байдибек от 4 января 2023 года № 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района Байдибек корпуса "Б""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района Байдибек корпуса "Б",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Байдибек"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Байдибек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Ф.Әуену.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Б.Қырғызалиев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района Байдибек корпуса "Б"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района Байдибек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государственные органы руководствуются настоящей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 (оцениваемый период) 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 (оцениваемый период) 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