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b5a" w14:textId="ad9c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2024 года № 14/180-VІII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апреля 2025 года № 16/220-VIIІ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2024 года №14/180-VІII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2 статьи 85,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2025-2027 годы согласно приложениям 1, 2 и 3,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1 351 219 088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72 764 019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20 683 873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1 257 765 873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1 376 300 941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20 796 234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57 976 716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37 180 482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7 505 138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7 505 138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- 53 383 225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53 383 225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районов Байдибек, Сауран, Казыгуртского, Ордабасинского, Сарыагашского и Тюлькубасского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80,4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71,3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районов Байдибек, Сауран, Казыгуртского, Ордабасинского, Сарыагашского и Тюлькубасского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28,7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42,8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областном бюджете на 2025 год предусмотрены целевые текущие трансферты бюджетам районов (городов областного значения),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физической культуры и спорта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финансов и государственных активов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Учесть, что в областном бюджете на 2025 год предусмотрено кредитование районных (городов областного значения) бюджетов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16/220-VІIІ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1 376 300 941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562 475 780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436 293 126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-53 383 225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