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f1b9" w14:textId="b15f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бюджетных средств, выделяемых на содержание профессиональных спортивных клубов по игровым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22 июля 2025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средств, выделяемых на содержание профессиональных спортивных клубов по игровым видам 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бюджетных средств, выделяемых на содержание профессиональных спортивных клубов по игровым видам спорта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финансирования (в месячных расчетных показателях-МРП)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(мужская, женская, молодежная) команда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500 000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(участие команд в турнирах УЕФА), дополнительно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200 000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Детско-юношеская академия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150 000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650 000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(мужская, женская, молодежная) команда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300 000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Детско-юношеская академия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75 000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375 000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игровые виды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(мужская, молодежная (юниоры) команда, детско-юношеская академия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120 000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(женская, молодежная (юниорки) команда, детско-юношеская академия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120 000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заработная плата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МРП)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тренер, тренер-консультант, 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(основной команды)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(молодежной команды)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МРП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одном регионе предусматривается содержание 1 клуба на 1 вид спорта, финансируемых из местного бюджета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