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4da" w14:textId="7c0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2025 года № 196-VIII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 пунктом 2 статьи 9 Бюджетного кодекса Республики Казахстан, с подпунктом 1) пункта 1 статьи 6 Закона Республики Казахстан "О местном государственном управлении и самоуправлении в Республике Казахстан",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18 636 403 тысяч тенге, в том числе 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5 254 105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94 558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13 203 793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18 636 403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21 625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21 625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- 21 625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2026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 субвенций, передаваемых из областного бюджета в районный бюджет, в сумме 1 859 018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2026 год в сумме 114 428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в сумме 78 809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37 423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41 386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целевые текущие трансферты из областного бюджета в сумме 3 662 863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6 554 тысяч тенге – на гарантированный социальный пакет;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33 833 тысяч тенге - на выплату государственной адресной социальной помощи;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314 536 тысяч тенге - на капитальный ремонт административного здания;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обеспечение прав и улучшение качества жизни лиц с инвалидностью в Республике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подготовительные работы к отопительному сезону 2026-2027 годов;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благоустройство, озеленение и санитарную очистку населенных пунктов;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347 240 тысяч тенге - на капитальный ремонт сетей водоснабжения и канализации;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1 780 000 тысяч тенге - обеспечение жильем отдельных категорий граждан;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прививка и обеззараживание бродячих животных;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360 000 тысяч тенге – обеспечение жильем отдельных категорий граждан.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целевые трансферты на развитие из областного бюджета в сумме 7 681 912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1 574 147 тысяч тенге - на строительство системы видеонаблюдения в населенных пунктах;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2 213 057 тысяч тенге – на развитие системы освещения населенных пунктов;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42 136 тысяч тенге - на развитие и (или) обустройство инженерно-коммуникационной инфраструктуры;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852 572 тысяч тенге – на развитие объектов спорта;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развитие транспортной инфраструктуры.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196-VIII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фонда компенсации потерпевшим и фонда поддержки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196-VIII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фонда компенсации потерпевшим и фонда поддержки образовательной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196-VIII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фонда компенсации потерпевшим и фонда поддержки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196-VIII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основных и средних школ, обеспеченных предметными кабинетами физики, химии, биологии, робототехники, STEM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 (ОДМ),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сбору и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50% от общей численности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хороших и удовлетворительных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