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7ae1b" w14:textId="f77a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Атырауской области</w:t>
      </w:r>
    </w:p>
    <w:p>
      <w:pPr>
        <w:spacing w:after="0"/>
        <w:ind w:left="0"/>
        <w:jc w:val="both"/>
      </w:pPr>
      <w:r>
        <w:rPr>
          <w:rFonts w:ascii="Times New Roman"/>
          <w:b w:val="false"/>
          <w:i w:val="false"/>
          <w:color w:val="000000"/>
          <w:sz w:val="28"/>
        </w:rPr>
        <w:t>Постановление акимата Атырауской области от 2 октября 2025 года № 204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пунктом 40 совместного приказа Министра культуры и информации Республики Казахстан от 30 мая 2025 года № 251-НҚ, Министра туризма и спорта Республики Казахстан от 28 мая 2025 года № 75, Министра цифрового развития, инноваций и аэрокосмической промышленности Республики Казахстан от 28 мая 2025 года № 266/НҚ и Министра просвещения Республики Казахстан от 28 мая 2025 года № 125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Атырауской области ПОСТАНОВЛЯЕТ:</w:t>
      </w:r>
    </w:p>
    <w:bookmarkEnd w:id="0"/>
    <w:bookmarkStart w:name="z5" w:id="1"/>
    <w:p>
      <w:pPr>
        <w:spacing w:after="0"/>
        <w:ind w:left="0"/>
        <w:jc w:val="both"/>
      </w:pPr>
      <w:r>
        <w:rPr>
          <w:rFonts w:ascii="Times New Roman"/>
          <w:b w:val="false"/>
          <w:i w:val="false"/>
          <w:color w:val="000000"/>
          <w:sz w:val="28"/>
        </w:rPr>
        <w:t>
      1. Реализовать в Атырауской области пилотный проект по размещению единого государственного заказа на дополнительное образование для детей с учетом персонифицированного финансирования по получателям услуг (далее – Пилотный проект) путем объединения творческого и спортивного заказов, а также образовательного заказа на дополнительное образование для детей в единый государственный заказ (далее – ЕГЗ) за исключением объема бюджетных средств, предусмотренных на целевой ваучер.</w:t>
      </w:r>
    </w:p>
    <w:bookmarkEnd w:id="1"/>
    <w:bookmarkStart w:name="z6" w:id="2"/>
    <w:p>
      <w:pPr>
        <w:spacing w:after="0"/>
        <w:ind w:left="0"/>
        <w:jc w:val="both"/>
      </w:pPr>
      <w:r>
        <w:rPr>
          <w:rFonts w:ascii="Times New Roman"/>
          <w:b w:val="false"/>
          <w:i w:val="false"/>
          <w:color w:val="000000"/>
          <w:sz w:val="28"/>
        </w:rPr>
        <w:t>
      2. Определить администратором бюджетных программ ЕГЗ государственное учреждение "Управления образования Атырауской области".</w:t>
      </w:r>
    </w:p>
    <w:bookmarkEnd w:id="2"/>
    <w:bookmarkStart w:name="z7" w:id="3"/>
    <w:p>
      <w:pPr>
        <w:spacing w:after="0"/>
        <w:ind w:left="0"/>
        <w:jc w:val="both"/>
      </w:pPr>
      <w:r>
        <w:rPr>
          <w:rFonts w:ascii="Times New Roman"/>
          <w:b w:val="false"/>
          <w:i w:val="false"/>
          <w:color w:val="000000"/>
          <w:sz w:val="28"/>
        </w:rPr>
        <w:t xml:space="preserve">
      3. Сформировать перечень поставщиков услуг и список ваучеродержателей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4. Определить объем ЕГЗ для реализации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5. Утвердить базовый норматив и корректирующий коэффициент в рамках ЕГЗ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xml:space="preserve">
      6. Определить определенные виды занятий (кружков/секции)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11" w:id="7"/>
    <w:p>
      <w:pPr>
        <w:spacing w:after="0"/>
        <w:ind w:left="0"/>
        <w:jc w:val="both"/>
      </w:pPr>
      <w:r>
        <w:rPr>
          <w:rFonts w:ascii="Times New Roman"/>
          <w:b w:val="false"/>
          <w:i w:val="false"/>
          <w:color w:val="000000"/>
          <w:sz w:val="28"/>
        </w:rPr>
        <w:t xml:space="preserve">
      7. Утвердить критерии оснащения (инвентаря/помещения) по определенным видам занятий (кружков/секции)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12" w:id="8"/>
    <w:p>
      <w:pPr>
        <w:spacing w:after="0"/>
        <w:ind w:left="0"/>
        <w:jc w:val="both"/>
      </w:pPr>
      <w:r>
        <w:rPr>
          <w:rFonts w:ascii="Times New Roman"/>
          <w:b w:val="false"/>
          <w:i w:val="false"/>
          <w:color w:val="000000"/>
          <w:sz w:val="28"/>
        </w:rPr>
        <w:t>
      8. Государственным учреждениям "Управление образования Атырауской области", "Управление культуры и развития языков Атырауской области", "Управление физической культуры, спорта и туризма Атырауской области" и "Управление цифровизации и архивов Атырауской области" принять меры, вытекающие из настоящего постановления.</w:t>
      </w:r>
    </w:p>
    <w:bookmarkEnd w:id="8"/>
    <w:bookmarkStart w:name="z13" w:id="9"/>
    <w:p>
      <w:pPr>
        <w:spacing w:after="0"/>
        <w:ind w:left="0"/>
        <w:jc w:val="both"/>
      </w:pPr>
      <w:r>
        <w:rPr>
          <w:rFonts w:ascii="Times New Roman"/>
          <w:b w:val="false"/>
          <w:i w:val="false"/>
          <w:color w:val="000000"/>
          <w:sz w:val="28"/>
        </w:rPr>
        <w:t>
      9. Признать утратившим силу постановление акимата Атырауской области от 14 июля 2025 года № 151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Атырауской области".</w:t>
      </w:r>
    </w:p>
    <w:bookmarkEnd w:id="9"/>
    <w:bookmarkStart w:name="z14" w:id="10"/>
    <w:p>
      <w:pPr>
        <w:spacing w:after="0"/>
        <w:ind w:left="0"/>
        <w:jc w:val="both"/>
      </w:pPr>
      <w:r>
        <w:rPr>
          <w:rFonts w:ascii="Times New Roman"/>
          <w:b w:val="false"/>
          <w:i w:val="false"/>
          <w:color w:val="000000"/>
          <w:sz w:val="28"/>
        </w:rPr>
        <w:t>
      10. Контроль за исполнением настоящего постановления возложить на курирующего заместителя акима Атырауской области.</w:t>
      </w:r>
    </w:p>
    <w:bookmarkEnd w:id="10"/>
    <w:bookmarkStart w:name="z15" w:id="11"/>
    <w:p>
      <w:pPr>
        <w:spacing w:after="0"/>
        <w:ind w:left="0"/>
        <w:jc w:val="both"/>
      </w:pPr>
      <w:r>
        <w:rPr>
          <w:rFonts w:ascii="Times New Roman"/>
          <w:b w:val="false"/>
          <w:i w:val="false"/>
          <w:color w:val="000000"/>
          <w:sz w:val="28"/>
        </w:rPr>
        <w:t>
      11. Настоящее постановление вводится в действие со дня его первого официального опубликования и распространяется на отношения возникшие с 1 октября 2025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bl>
    <w:bookmarkStart w:name="z18" w:id="12"/>
    <w:p>
      <w:pPr>
        <w:spacing w:after="0"/>
        <w:ind w:left="0"/>
        <w:jc w:val="left"/>
      </w:pPr>
      <w:r>
        <w:rPr>
          <w:rFonts w:ascii="Times New Roman"/>
          <w:b/>
          <w:i w:val="false"/>
          <w:color w:val="000000"/>
        </w:rPr>
        <w:t xml:space="preserve"> Перечень поставщиков услуг и список ваучеродержателей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вида организации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"Специализированная детско-юношеская спортивная школа №1"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№1"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№2"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№3"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№4"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№5"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№6"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Акжар"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Дамба"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подготовки Олимпийского резерва"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высшего спортивного мастерства по неолимпийским видам спорта"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специализированная школа-интернат-колледж олимпийского резерва"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"Школа высшего спортивного мастерства"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"Спортивный клуб инвалидов"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"Областной профессиональный спортивный клуб по боксу" Управление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"Областной профессиональный спортивный клуб по хоккею" "Бейбарыс-Атырау" Управление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"Туристский информацонный центр "Visit Atyrau" Управления физической культуры, спорта и туризма Атырауской област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"Атырауский областной спортивный клуб национальных видов спорта"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№1 Жылыойского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№2 Жылыойского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№3 Жылыойского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№4 Жылыойского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№5 Жылыойского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Жем"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Қосшағыл"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Макатского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Доссор"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Махамбетского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Акжайык"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Исатайского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Индерского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Жанбай"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Есбол"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Орлик"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Кызылкогинского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Сагиз"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Курмангазинского района"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Аккол"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Шортанбай" Управления физической культуры, спорта и туризма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Бокейхан" Управления физической культуры, спорта и туризма Атырауской области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"Областной Академический казахский драматический театр имени Махамбета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"Атырауский Молодежный театр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"Областной центр по организации научно-методической работы народного творчества и культурно-досуговой деятельности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"Академический оркестр казахских народных инструментов имени Дины Нурпеисовой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"Областная филармония имени Нурмухана Жантурина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"Музей художественного и декоративно-прикладного искусства Атырской области имени Шаймардана Сариева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"Историко-краеведческий музей Атырауский области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универсальная научная библиотека имени Габдола Сланова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"Областная детская библиотека Управления культуры и развития языков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культурного и творческого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учреждения библиотечной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учреждения музейной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музыкальная школа при Атырауском музыкальном колледже "Академия народной музыки имени Дины Нурпейсовой" Государственное учереждение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"Дамбинская школа искусств" отдела образования города Атырау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Курмангазы" отдела образования города Атырау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М.Койшыбаева" отдела образования города Атырау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школьников города Атырау имени Абая"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подготовки "Барыс" отдела образования города Атырау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подготовки "Ұлан" отдела образования города Атырау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подготовки "Барыс" отдел образования Исатайского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"Жанбайская детская музыкальная школа" отдела образования Исатайского района Управление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"Дом школьников" Исатайского районного отдел образования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"Новобогатинская музыкальная школа" отдела образования Исатайского района Управление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Ш.Шарипова" отдела образования Исатайского района управление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Детско-юношеский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"Районная детская школа искусств имени З.Ещановой" отдела образования Махамбетского района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Рыспая Габдиева"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"Макатская детская школа искусств"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культуры и 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школа искусств имени А.Умирова" Кызылкогинского районного отдела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"Коныстануская детская школа искусства" отдела обрразования Кызылкогинского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"Миялинская детская школа искусств" отдела образования Кызылкогинского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"Детско-юношеский клуб физической подготовки "Улан" отдел образования Кызылкогинского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"Дом школьников" отдела образования Кызылкогинского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"Кульсаринская детская школа искусств" Отдела образования Жылыойского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"Клуб детско-юношеской физической подготовки" отдела образования Жылыойского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Коммуналное государственное учреждение "Станция юных техников" отдел образования Жылыойского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музыкальная школа №1 имя Т.Култумиева город.Кульсары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"Индерская детская школа искусств" отдел образования Индерского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 – юношеский клуб физической подготовки" Отдела образования Индерского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творчества учащихся" отдела образования Индерского района Управления образования Атырауской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"Детская музыкальная школа имени Даулеткерей"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"Детская школа искусств имени Д.Нурпейсовой"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"Дом школьников Курмангазинского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"Станция юных туристов Курмангазинского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"Детский-юношеский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общеобразовательные учебные заведения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bl>
    <w:bookmarkStart w:name="z20" w:id="13"/>
    <w:p>
      <w:pPr>
        <w:spacing w:after="0"/>
        <w:ind w:left="0"/>
        <w:jc w:val="left"/>
      </w:pPr>
      <w:r>
        <w:rPr>
          <w:rFonts w:ascii="Times New Roman"/>
          <w:b/>
          <w:i w:val="false"/>
          <w:color w:val="000000"/>
        </w:rPr>
        <w:t xml:space="preserve"> Объем ЕГЗ для реализации пилотного проекта</w:t>
      </w:r>
    </w:p>
    <w:bookmarkEnd w:id="13"/>
    <w:bookmarkStart w:name="z21" w:id="14"/>
    <w:p>
      <w:pPr>
        <w:spacing w:after="0"/>
        <w:ind w:left="0"/>
        <w:jc w:val="both"/>
      </w:pPr>
      <w:r>
        <w:rPr>
          <w:rFonts w:ascii="Times New Roman"/>
          <w:b w:val="false"/>
          <w:i w:val="false"/>
          <w:color w:val="000000"/>
          <w:sz w:val="28"/>
        </w:rPr>
        <w:t>
      Проект бюджета по направлению культуры: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(специальные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 общих основаниях (общеразвивающие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267 750 000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ЕГЗ на 2025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1 606 500 000 тенге</w:t>
            </w:r>
          </w:p>
        </w:tc>
      </w:tr>
    </w:tbl>
    <w:bookmarkStart w:name="z22" w:id="15"/>
    <w:p>
      <w:pPr>
        <w:spacing w:after="0"/>
        <w:ind w:left="0"/>
        <w:jc w:val="both"/>
      </w:pPr>
      <w:r>
        <w:rPr>
          <w:rFonts w:ascii="Times New Roman"/>
          <w:b w:val="false"/>
          <w:i w:val="false"/>
          <w:color w:val="000000"/>
          <w:sz w:val="28"/>
        </w:rPr>
        <w:t>
      Проект бюджета по направлению спорта: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(специальные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 (интегрированные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 (общеразвивающие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 общих основаниях (общеразвивающие группы)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ЕГЗ на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2 400 000 000 тенге</w:t>
            </w:r>
          </w:p>
        </w:tc>
      </w:tr>
    </w:tbl>
    <w:bookmarkStart w:name="z23" w:id="16"/>
    <w:p>
      <w:pPr>
        <w:spacing w:after="0"/>
        <w:ind w:left="0"/>
        <w:jc w:val="both"/>
      </w:pPr>
      <w:r>
        <w:rPr>
          <w:rFonts w:ascii="Times New Roman"/>
          <w:b w:val="false"/>
          <w:i w:val="false"/>
          <w:color w:val="000000"/>
          <w:sz w:val="28"/>
        </w:rPr>
        <w:t>
      Проект бюджета по направлению дополнительного образования: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 (специальные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 (интегрированные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многодетной семьи (общеразвивающие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на общих основаниях (общеразвивающие группы)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ЕГЗ на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bl>
    <w:bookmarkStart w:name="z26" w:id="17"/>
    <w:p>
      <w:pPr>
        <w:spacing w:after="0"/>
        <w:ind w:left="0"/>
        <w:jc w:val="left"/>
      </w:pPr>
      <w:r>
        <w:rPr>
          <w:rFonts w:ascii="Times New Roman"/>
          <w:b/>
          <w:i w:val="false"/>
          <w:color w:val="000000"/>
        </w:rPr>
        <w:t xml:space="preserve"> Базовый норматив и корректирующий коэффициент в рамках ЕГЗ</w:t>
      </w:r>
    </w:p>
    <w:bookmarkEnd w:id="17"/>
    <w:bookmarkStart w:name="z27" w:id="18"/>
    <w:p>
      <w:pPr>
        <w:spacing w:after="0"/>
        <w:ind w:left="0"/>
        <w:jc w:val="both"/>
      </w:pPr>
      <w:r>
        <w:rPr>
          <w:rFonts w:ascii="Times New Roman"/>
          <w:b w:val="false"/>
          <w:i w:val="false"/>
          <w:color w:val="000000"/>
          <w:sz w:val="28"/>
        </w:rPr>
        <w:t>
      Базовый норматив: 22 594 тенге</w:t>
      </w:r>
    </w:p>
    <w:bookmarkEnd w:id="18"/>
    <w:bookmarkStart w:name="z28" w:id="19"/>
    <w:p>
      <w:pPr>
        <w:spacing w:after="0"/>
        <w:ind w:left="0"/>
        <w:jc w:val="both"/>
      </w:pPr>
      <w:r>
        <w:rPr>
          <w:rFonts w:ascii="Times New Roman"/>
          <w:b w:val="false"/>
          <w:i w:val="false"/>
          <w:color w:val="000000"/>
          <w:sz w:val="28"/>
        </w:rPr>
        <w:t>
      Корректирующие коэффициенты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 тенге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bl>
    <w:bookmarkStart w:name="z30" w:id="20"/>
    <w:p>
      <w:pPr>
        <w:spacing w:after="0"/>
        <w:ind w:left="0"/>
        <w:jc w:val="left"/>
      </w:pPr>
      <w:r>
        <w:rPr>
          <w:rFonts w:ascii="Times New Roman"/>
          <w:b/>
          <w:i w:val="false"/>
          <w:color w:val="000000"/>
        </w:rPr>
        <w:t xml:space="preserve"> Классификатор категорий услуг по ЕГЗ и видов занятий (кружков/секции), подлежащих финансированию из местного бюджета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детей в группе, человек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СПОРТИВНЫЕ СЕКЦИИ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Индивидуальные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гимнастика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пулевая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лука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шоссейный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Велоспорт трековый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Командные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Боевые виды спорта и самооборона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(WКF)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Танцевальные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бальные танцы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Игровые виды спорта и стратегии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Силовые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ТяжҰлая атлетика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Водные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поло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Зимние виды 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с шайбой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Фигурное катание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КҰрлинг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Для детей с ОВ по зрению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зрению]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Для детей с ОВ по слуху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[ОВ: по слуху]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Для детей с ОВ с поражениями 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Для интегрированных групп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адаптивное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детей в группе, человек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ТВОРЧЕСКИЕ КРУЖКИ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и рисования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Вокальные кружки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Танцевальные кружки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Кружки театра и кино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АктҰрское искусство и сценическая речь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Кукловождение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Режиссерское искусство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Компьтерная графика, анимация и мультипликация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Кружки декоративно-прикладноготворчества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Валяние/войлока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Кружки современной АРТ индустрий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исскуство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Моделирование одежды, кройка,шитье,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Флористика,икебаны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Кружки инструментального исполнительства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Кружки музейного дела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Краеведение,гид (экскурсовод)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Реставрация культурных ценностей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Литературные кружки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и проза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Художестненное чтение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исскуство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категорий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ОБУЧАЮЩИЕ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 пес.терапия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классы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обучающие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Туристско-краеведческое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Туристский краеведческий кружок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Эколого-биологическое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Клеточная биология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эколого-биологические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Художественное-эстетическое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художественные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Социально-педагогическое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Юный журналист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слова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studio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педагогические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Естественно-математические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(секции)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игры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(все виды)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Айкидо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лука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Творческое направление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Юный художник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творческие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Атырауской области от "02"</w:t>
            </w:r>
            <w:r>
              <w:br/>
            </w:r>
            <w:r>
              <w:rPr>
                <w:rFonts w:ascii="Times New Roman"/>
                <w:b w:val="false"/>
                <w:i w:val="false"/>
                <w:color w:val="000000"/>
                <w:sz w:val="20"/>
              </w:rPr>
              <w:t>октября 2025 года № 204</w:t>
            </w:r>
          </w:p>
        </w:tc>
      </w:tr>
    </w:tbl>
    <w:bookmarkStart w:name="z33" w:id="21"/>
    <w:p>
      <w:pPr>
        <w:spacing w:after="0"/>
        <w:ind w:left="0"/>
        <w:jc w:val="left"/>
      </w:pPr>
      <w:r>
        <w:rPr>
          <w:rFonts w:ascii="Times New Roman"/>
          <w:b/>
          <w:i w:val="false"/>
          <w:color w:val="000000"/>
        </w:rPr>
        <w:t xml:space="preserve"> Критерии по оснащению (инвентаря/помещений) по определенным видам занятий (кружков/секций)</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xml:space="preserve">
Помещение: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аппаратный контроль посещаемости: терминалы генерации QR или терминалы распознавания биометрии ребенка/законного представителя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помещения: закрытое, отапливаемое, проветриваемое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санитарные условия: соответствие СанПиН (санитарно-эпидемиологическим требованиям); ежедневная уборка, проветривание, кварцевание; обеспечение питьевого режима; медицинская аптечка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туалеты: раздельные для мальчиков и девочек,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xml:space="preserve">
Помещение: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 высота потолка: не менее 7 метров для занятий с мячом, не менее 3 метров для иных видов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площадь помещения: от 100 квадратных 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проведения занятий, кроме шахмат, шашек и киберспорта: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раздевалки: раздельные для мальчиков и девочек</w:t>
            </w:r>
          </w:p>
          <w:p>
            <w:pPr>
              <w:spacing w:after="20"/>
              <w:ind w:left="20"/>
              <w:jc w:val="both"/>
            </w:pPr>
            <w:r>
              <w:rPr>
                <w:rFonts w:ascii="Times New Roman"/>
                <w:b w:val="false"/>
                <w:i w:val="false"/>
                <w:color w:val="000000"/>
                <w:sz w:val="20"/>
              </w:rPr>
              <w:t>
</w:t>
            </w:r>
            <w:r>
              <w:rPr>
                <w:rFonts w:ascii="Times New Roman"/>
                <w:b w:val="false"/>
                <w:i w:val="false"/>
                <w:color w:val="000000"/>
                <w:sz w:val="20"/>
              </w:rPr>
              <w:t>3) душевые: раздельные для мальчиков и девочек, противоскользящее покрытие пола, горячая и холодная вода, шторки или перегородки, душевы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шкафчики: для хранения одежды, в количестве не менее максимального человек в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Размер бассейна: от 25×8 м (на 4-5 дорожки), Глубина: 1,2–1,8 м безопасна для начинающих, Температура воды: 26–28°C</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Общий инвентарь для разных видов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Спортивный инвентарь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Единоборства : татами, кимоно, пояса, борцовки, шлемы, борцовские ковры.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Шашки/шахматы: доски, фигуры, таймеры, тактильные доски и фигуры, говорящие часы.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w:t>
            </w:r>
            <w:r>
              <w:rPr>
                <w:rFonts w:ascii="Times New Roman"/>
                <w:b w:val="false"/>
                <w:i w:val="false"/>
                <w:color w:val="000000"/>
                <w:sz w:val="20"/>
              </w:rPr>
              <w:t>•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Дополнительный и вспомогательный инвентарь:</w:t>
            </w:r>
          </w:p>
          <w:p>
            <w:pPr>
              <w:spacing w:after="20"/>
              <w:ind w:left="20"/>
              <w:jc w:val="both"/>
            </w:pPr>
            <w:r>
              <w:rPr>
                <w:rFonts w:ascii="Times New Roman"/>
                <w:b w:val="false"/>
                <w:i w:val="false"/>
                <w:color w:val="000000"/>
                <w:sz w:val="20"/>
              </w:rPr>
              <w:t>
</w:t>
            </w:r>
            <w:r>
              <w:rPr>
                <w:rFonts w:ascii="Times New Roman"/>
                <w:b w:val="false"/>
                <w:i w:val="false"/>
                <w:color w:val="000000"/>
                <w:sz w:val="20"/>
              </w:rPr>
              <w:t>• Аптечка,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Звуковая/световая система,</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ТренажҰры (по видам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Таймеры,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Тренировочные снаряды (мячи, мешки, манекены и т.д.),</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xml:space="preserve">
Помещение: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аппаратный контроль посещаемости: терминалы генерации QR или терминалы распознавания биометрии ребенка/законного представителя (в случае наличия приказа администратора контроля табелей посещаемости о внедрении аппаратного контроля посещаемости занятий)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тип помещения: закрытое, отапливаемое, проветриваемое</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санитарные условия: Санитарно-эпидемиологических требований к внешкольным объектам в соответствии с Санитарными правилами "Санитарно-эпидемиологические требования к объектам образования", утвержденным приказом Министра здравоохранения Республики Казахстан от 5 августа 2021 года КР ДСМ-76(зарегистрирован в Реестре государственной регистрации нормативных правовых актов под 23890)-для организации культуры ,спорта ,дополнительного образования для детей(целевой ваучер)ежедневная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туалеты: раздельные для мальчиков и девочек,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Творческие, обучающие и познавательные кружки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5"/>
          <w:p>
            <w:pPr>
              <w:spacing w:after="20"/>
              <w:ind w:left="20"/>
              <w:jc w:val="both"/>
            </w:pPr>
            <w:r>
              <w:rPr>
                <w:rFonts w:ascii="Times New Roman"/>
                <w:b w:val="false"/>
                <w:i w:val="false"/>
                <w:color w:val="000000"/>
                <w:sz w:val="20"/>
              </w:rPr>
              <w:t xml:space="preserve">
Помещение: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высота потолка: не менее 2,8 метров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 от +18 до +22 °C, наличие термометров</w:t>
            </w:r>
          </w:p>
          <w:p>
            <w:pPr>
              <w:spacing w:after="20"/>
              <w:ind w:left="20"/>
              <w:jc w:val="both"/>
            </w:pPr>
            <w:r>
              <w:rPr>
                <w:rFonts w:ascii="Times New Roman"/>
                <w:b w:val="false"/>
                <w:i w:val="false"/>
                <w:color w:val="000000"/>
                <w:sz w:val="20"/>
              </w:rPr>
              <w:t>
3) площадь помещения: от 1,5 квадратных метров рабочей площади на 1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требования к материально-техническому оснащению: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Изобразительное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и рисования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кисти, карандаши, ластики, емкости для жидкостей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столы, стулья, карандаши, ластики, чернила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стенды для фото, компьютеры, цветные принтеры, фотоаппараты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и скульптура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гончарный круг, печь для обжига глины, гончарные инструменты, емкости для жидкостей, фартуки, кисти, инструменты для гравировки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доски и стеки,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Вокальные кружки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звуковое оборудование с микрофонами, фортепиано или другой родственный инструмент,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хоровой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 столы, пюпитры, аккомпанирующий инструмент (если требуется),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Танцевальные кружки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станки, звуковое оборудование, паркет или линолеум, индивидуальные коврики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Кружки театра и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АктҰрское искусство и сценическая речь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ширма, реквизиты, костюмы,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инструменты и предметы в зависимости от вида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Кукловождение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куклы, ширмы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Режиссерское искусство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Компьтерная графика, анимация и мультипликация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видеокамеры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Кружки декоративно-прикладноготворчества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Ткацкий станок, ножницы, гребень, колотушка, нож-крючок, палочка,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пяльцы, ножницы, швейные машины, столы, стулья,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Валяние/войлока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подложки, наперстки, фильцевальная машинка, пуходерка, ножницы,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6"/>
          <w:p>
            <w:pPr>
              <w:spacing w:after="20"/>
              <w:ind w:left="20"/>
              <w:jc w:val="both"/>
            </w:pPr>
            <w:r>
              <w:rPr>
                <w:rFonts w:ascii="Times New Roman"/>
                <w:b w:val="false"/>
                <w:i w:val="false"/>
                <w:color w:val="000000"/>
                <w:sz w:val="20"/>
              </w:rPr>
              <w:t>
Столы, стулья, тиски, напильники, мини-дрели (бормашины), сверла, фрезы, плоскогубцы, круглогубцы, ножницы, кусачки, лупы, бинокуляры,</w:t>
            </w:r>
          </w:p>
          <w:bookmarkEnd w:id="26"/>
          <w:p>
            <w:pPr>
              <w:spacing w:after="20"/>
              <w:ind w:left="20"/>
              <w:jc w:val="both"/>
            </w:pPr>
            <w:r>
              <w:rPr>
                <w:rFonts w:ascii="Times New Roman"/>
                <w:b w:val="false"/>
                <w:i w:val="false"/>
                <w:color w:val="000000"/>
                <w:sz w:val="20"/>
              </w:rPr>
              <w:t>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иглы, швейные машины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7"/>
          <w:p>
            <w:pPr>
              <w:spacing w:after="20"/>
              <w:ind w:left="20"/>
              <w:jc w:val="both"/>
            </w:pPr>
            <w:r>
              <w:rPr>
                <w:rFonts w:ascii="Times New Roman"/>
                <w:b w:val="false"/>
                <w:i w:val="false"/>
                <w:color w:val="000000"/>
                <w:sz w:val="20"/>
              </w:rPr>
              <w:t>
Столы, стулья, коврик-мат, ножи для резки,</w:t>
            </w:r>
          </w:p>
          <w:bookmarkEnd w:id="27"/>
          <w:p>
            <w:pPr>
              <w:spacing w:after="20"/>
              <w:ind w:left="20"/>
              <w:jc w:val="both"/>
            </w:pPr>
            <w:r>
              <w:rPr>
                <w:rFonts w:ascii="Times New Roman"/>
                <w:b w:val="false"/>
                <w:i w:val="false"/>
                <w:color w:val="000000"/>
                <w:sz w:val="20"/>
              </w:rPr>
              <w:t>
линейка, маркер для кожи, шило, ножницы, иглы, молоток, стамески, пробойники, тески,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краски для батика, кисти, инструменты для холодного и горячего батика, емкости для жидкостей, фартуки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ножницы, ножи, доски, линейки, кисти, карандаши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Кружки современной АРТ индустрий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кисти, лампа,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Модельное исскуство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стулья, звуковое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Моделирование одежды, кройка,шитье,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швейные машины, светильники, ножницы, оверлог, утюг, манекен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Флористика,икебаны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секаторы, пластмассовые цветы, ножницы, кусачки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Кружки инструментального исполнительства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клавишные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 струнные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духовые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 эстрадные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фортепиано или другой родственный инструмент, звукопоглощающая ткань на стенах, ударные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пюпитры, инструменты, фортепиано или другой родственный инструмент, звукопоглощающая ткань на стенах, народные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школьная или маркерная доска, пюпитры, домбра, звукопоглощающая ткань на стенах, зеркала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Кружки музейного 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Краеведение,гид (экскурсовод)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карты, шпатели, лопаты, ковшовый шнек, совок, поддон, просеиватель, флотационное устройство, кисти, весы, перчатки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Реставрация культурных ценностей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компьютеры, ручка pH-измеритель, Станок для шифрования переплетной кожи, Электрическая люминесцентная пленка, Аэрозольный генератор реставрационный, Генератор пара, Реставрационный шпатель, Очиститель реставрационный, Музейный Пылесос, Парогенератор-очиститель с функцией всасывания, Реставрационный лазер, Реставрационный Паровой Карандаш, Реставрационные утюжки, прессы, ванны, сушилки, мольберты, резаки, столярные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Литературные кружки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 домбра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и проза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Художестненное чтение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литература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исскуство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стулья, трибуны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