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d544" w14:textId="cabd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(заисключением органических) и норм субсидий на 1 тонну (литр, килограмм) удобрений, приобретенных у продавца удобрений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июня 2025 года № 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(зарегистрированный в Реестре государственной регистрации нормативных правовых актов № 20209)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органических)и нормы субсидий на 1 тонну (литр, килограмм) удобрений, приобретенных у продавца удобрений на 2025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июня 2025 года № 123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на1 тонну (литр, килограмм) удобрений, приобретенных у продавца удобрений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Полисахариды морских водорослей-1%, Лимонная кислота, 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Цинк- 40г/кг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общий-15%м/м Азот амидный- 15%м/м Оксид кальция- 12%м/м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2% Доступный фосфор (P2O5): 3% Растворимый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- 65,4г/л, Калий 67,5 г/л, Фосфор - 28,6 г/л, Экстракт водорослей - 220 г/л, Органическое вещество- 89,7 г/л, Zn - 2.48 г/л, B - 1.86 г/л, Fe - 1.52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Экстракт морских водорослей 210 г/л, Органические вещества 206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Mn-10%, N-4,6%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P-20%,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S-14%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MgO-2%,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марок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Полисахариды, Витамины, Белки, Аминокислоты, Очищеyные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NP+S=20:20+14,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общ-2,27%, массовая доля гуминовых кислот-30-90%, массовая доля органического вещества-47,4%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штамма спорообразующих бактерий Bacillus subtilis (не менее 108 КОЕ/мл); 3 штамма гриба Trichoderma, молочнокислые, фосфор- и калий мобилизующие, азотфиксирующие бактерии (не менее 4х108 КОЕ/мл); комплекс целлюлозолитических ферментов (активность не менее 5 ед./мл); природные полисахариды, фитогормоны, витамины, L-аминокислоты; гумат калия - 0,5 %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аминокислоты-0,78; органические кислоты-0,1; полисахариды-0,00347; фитогормоны-0,0004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кислоты-5,3; полисахариды-0,00379; фитогормоны-0,00043;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0,5 %; Мо – 3,0 %; Zn – 0,5 %;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аминокислоты-1,39; органические кислоты-7,2;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аминокислоты-2,68;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аминокислоты-2,78;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Р2О5-30,00%0, В-0,51%, Zn-0,51%, аминокислоты-0,08%, органические кислоты-4,5%, полисахариды-0,00365%, фитогормоны-0,00042%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(N)-14, Фосфор (P2O5)-5, Калий (K2O)-15, Сера (S)-7,5, Fe-0, Бор (B)-2,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-2-5 %; фосфор (P2O5) - 0,66-1,66 %; калий (K2O) -2-5 %: сера общая (S) - 0,65-1,65 %; микроэлементы, %: бор (В) - 0,10; железо (Fе2О3) - 0,15; кобальт (Со) - 0,02; марганец (Mn) - 0,15; медь (Cu) - 0,10; молибден (Мо) - 0,01; цинк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Bacilluis subtilis Ч-13, 5*10^4,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