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afdc" w14:textId="e7ba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Чкаловского сельского округа Тайыншинского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2025 года № 435/29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Чкаловского сельского округа Тайыншинского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102695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40172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1776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60747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102695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Чкаловского сельского округа Тайыншинского района Северо-Казахстанской области формируются в соответствии с Бюджетным Кодексом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Чкаловского сельского округа на 2026 год поступление целевых текущих трансфертов из областного бюджета в сумме 5956 тысячи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бюджетную субвенцию, передаваемую из районного бюджета, в бюджет Чкаловского сельского округа на 2026 года сумме 54791 тысяч тенге.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2026 года № 435/29 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Чкаловского сельского округа Тайыншинского района Северо-Казахстанской области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неиспользуемых (недоиспользуемых)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2026 года № 435/29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Чкаловского сельского округа Тайыншинского района Северо-Казахстанской области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неиспользуемых (недоиспользуемых)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2026 года № 435/29 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Чкаловского сельского округа Тайыншинского района Северо-Казахстанской области на 2028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неиспользуемых (недоиспользуемых)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