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47f6" w14:textId="f7a4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27 февраля 2025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19,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5,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самоуправлении в Республике Казахстан", на основании заявления линейной производственно-диспетчерской станции "Петропавловск" (ЛПДС "Петропавловск") филиал от 13 февраля 2025 года и разработанного землеустроительного проекта утвержденного приказом руководителя коммунального государственного учреждения "Кызылжарский районный отдел земельных отношений" № 61 от 03 февраля 2025 года, аким Петерфельдского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"Транснефть-Урал" право ограниченного целевого пользования (публичный сервитут) сроком на 3 года на земельный участок общей площадью - 1,0432 га, в том числе по угодьям: пастбища естественные 1,0099 га, дороги 0,0333 га для временного автокомплекса и городка, расположенный по адресу село Петерфельд Петерфельдского сельского округа, Кызылжарского района,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 и сервитуты: земельный участок пересекает: ЛЭП АО "КазТрансОйл", кадастровый номер 15-220-068-068, сервитут ЛЭП АО "КазТрансОйл", охранная зона МНПП "Уфа-Омск", "Уфа-Петропавловск" АО "Транснефть-Урал", охранная зона МН "Туймазы-Омск-Новосибирск-2" (МН "ТОН-2") АО "КазТрансОйл".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участок считать делимым.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