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e726" w14:textId="55ee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Бескольского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Бескольского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490 823,6 тысяч тенге: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265 972,8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224 850,8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503 088,2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-12 264,6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-12 264,6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12264,6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12 264,6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№ 24/8 (вводится в действие с 01.01.2025); от 26.09.2025 </w:t>
      </w:r>
      <w:r>
        <w:rPr>
          <w:rFonts w:ascii="Times New Roman"/>
          <w:b w:val="false"/>
          <w:i w:val="false"/>
          <w:color w:val="000000"/>
          <w:sz w:val="28"/>
        </w:rPr>
        <w:t>№ 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Бескольского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размещение наружной (визуальной) рекламы на: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Бескольского сельского округа формируются за счет следующих неналоговых поступлений: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Бескольского сельского округа на 2025 год целевые трансферты из республиканского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Бескольского сельского округа "О реализации решения Кызылжарского районного маслихата Северо-Казахстанской области "Об утверждении бюджета Бескольского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Бескольского сельского округа на 2025 год целевые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Бескольского сельского округа "О реализации решения Кызылжарского районного маслихата Северо-Казахстанской области "Об утверждении бюджета Бескольского сельского округа Кызылжарского района на 2025-2027 годы".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следующее решение Кызылжарского районного маслихата Северо-Казахстанской области: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19/9 "Об утверждении бюджета Бесколького сельского округа Кызылжарского района на 2025-2027 годы".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23/28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№ 24/8 (вводится в действие с 01.01.2025); от 26.09.2025 </w:t>
      </w:r>
      <w:r>
        <w:rPr>
          <w:rFonts w:ascii="Times New Roman"/>
          <w:b w:val="false"/>
          <w:i w:val="false"/>
          <w:color w:val="ff0000"/>
          <w:sz w:val="28"/>
        </w:rPr>
        <w:t>№ 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490 823,6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145 256,1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145 256,1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120 716,7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117 081,7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23/28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23/28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