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afbc" w14:textId="356a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декабря 2025 года № 31-2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Аккайынского района на 2026 - 2028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–3374084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2245065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1034284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3025657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10352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- 51900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41548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- 400327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400327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51900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348427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(города областного значения) бюджет в соответствии с законами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по нормативам распределения доходов, установленным областным маслихатом;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транспортные средства, за исключением налога на транспортные средства: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плата за пользование лицензиями на занятие отдельными видами деятельности;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(города областного значения) акимата;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(города областного значения) коммунальной собственности;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(города областного значения) коммунальной собственности;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(города областного значения) коммунальной собственности, за исключением доходов от аренды имущества районной (города областного значения) коммунальной собственности, находящегося в управлении акима города районного значения, села, поселка, сельского округа;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(города областного значения)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(города областного значения) коммунальной собственности;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гранты, привлекаемые местными исполнительными органами;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районный (города областного значения) бюджет.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приватизации жилищ из государственного жилищного фонда;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239998 тысяч тенге.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 четвертому уровню бюджета в сумме 440880 тысяч тенге согласно приложению 4.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2026- 2028 годы".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2026 год поступление целевых трансфертов из республиканского и областного бюджета.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2026-2028 годы".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Аккайынского района на 2026 год в сумме 52110 тысяч тенге.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 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2027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3441068,8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