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fbf5" w14:textId="bcbf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отчетности об использовании целевого взноса, форм и сроков ее представления, а также требований к предоставляемой информации о ходе и результатах использования целевого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мая 2025 года №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</w:t>
      </w:r>
      <w:r>
        <w:rPr>
          <w:rFonts w:ascii="Times New Roman"/>
          <w:b w:val="false"/>
          <w:i w:val="false"/>
          <w:color w:val="ff0000"/>
          <w:sz w:val="28"/>
        </w:rPr>
        <w:t>. 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Бюджетного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отчетности об использовании целевого взноса, форм и сроков ее представления, а также требований к предоставляемой информации о ходе и результатах использования целевого взноса.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368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отчетности об использовании целевого взноса, форм и сроков ее представления, а также требований к предоставляемой информации о ходе и результатах использования целевого взноса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отчетности об использовании целевого взноса, форм и сроков ее представления, а также требований к предоставляемой информации о ходе и результатах использования целевого взноса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Бюджетного кодекса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гарантированный объем бесплатной медицинской помощи – объем медицинской помощи, предоставляемой за счет бюджетных средств;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обязательное социальное медицинское страхование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целевым взносом являются безвозмездные и безвозвратные платежи из республиканского бюджета в фонд социального медицинского страхования: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за оказание услуг в рамках гарантированного объема бесплатной медицинской помощи;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отчетности об использовании целевого взноса, форм и сроков ее представления, а также требований к предоставляемой информации о ходе и результатах использования целевого взноса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процесса составления отчетности об использовании целевого взноса являются: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представляет в уполномоченный орган отчеты об использовании целевого взноса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здравоохранения Республики Казахстан от 16 августа 2017 года № 612 "Об утверждении форм и сроков представления фондом социального медицинского страхования отчетности по средствам на оказание медицинской помощи" (зарегистрирован в Реестре государственной регистрации нормативных правовых актов под № 15661), (далее – Приказ № 612).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 об использовании целевого взноса представляются фондом в уполномоченный орган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612.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Отчетная информация о ходе и результатах использования целевого взноса формируется на основании данных информационных систем фонда и уполномоченного органа.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 обеспечивает: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предоставление отчетности в соответствии с формами и сроками, утвержденными в приложениях к Приказу № 612;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пояснительной записки по отклонениям фактического исполнения от плановых значений, с указанием причин неисполнения/ отклонения и результатах использования средств целевого взноса.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