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48d6" w14:textId="4e2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2025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специализации подлежащих сертификации специалистов в области здравоохранения,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Специальности и специализации работников с высшим и послевузовским образованием в области общественного здоровья и менеджмента здравоохранения, санитарно-эпидемиологического профиля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Медико-биологическое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детей и подростков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микроорганизмами I-II группы патогенности (с чумой, холерой)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особо опасными микроорганизмами II группы патогенности (с холерой)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Биобезопасность при работе с микроорганизмами II группы патогенности 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3-1. Специальности и специализации работников с высшим и послевузовским немедицинским образованием в области санитарно-эпидемиологического профиля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Биология*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Направление подготовки "Естественные науки, математика и статистика"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Специальности и специализации работников с техническим и профессиональным образованием в области санитарно-эпидемиологического профиля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(лаборант, помощник врача-лаборанта, фельдшер-лаборант)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микроорганизмами I-II группы патогенности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