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d7ef" w14:textId="c1ad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406/42.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на 2026-2028 годы согласно приложению 1 соответственно, в том числе на 2026 год в следующих объемах с изменениями: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68 387,0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7 600,0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70 187,0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1800,0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445/48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№406/42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445/48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№406/42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№406/42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