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af74" w14:textId="966a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Костанайской области от 11 сентября 2019 года № 394 "Об утверждении Правил реализации механизмов стабилизации цен на социально значимые продовольственные товары по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февраля 2025 года № 27. Утратило силу постановлением акимата Костанайской области от 2 июля 2026 года № 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02.07.2026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Правил реализации механизмов стабилизации цен на социально значимые продовольственные товары по Костанайской области" от 11 сентября 2019 года № 394 (зарегистрировано в Реестре государственной регистрации нормативных правовых актов под № 8653)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механизмов стабилизации цен на социально значимые продовольственные товары по Костанайской области,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"12-2. В рамках формирования регионального стабилизационного фонда продовольственных товаров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с применением форварда с установлением фиксированной цены.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Форвардное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на условиях предварительной оплаты в размере не более 70 (семидесяти) процентов от общей суммы форвардного договора и окончательного расчета после поставки продукции.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12-3. Объем овощной продукции, приобретаемой в рамках форвардных договоров, формируется до 50 процентов от трехмесячной потребности населения (городского или общего) области на основе регионального спроса в соответствии с решением Комиссии.";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Социально значимые продовольственные товары, приобретаемые в региональные стабилизационные фонды продовольственных товаров, должны соответствовать требованиям технических регламентов.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20-2. При приобретении социально значимых продовольственных товаров в региональные стабилизационные фонды продовольственных товаров специализированная организация проводит анализ финансовой устойчивости сельскохозяйственных товаропроизводителей, перерабатывающих предприятий, оптовых поставщиков (дистрибьюторов), специализирующихся на реализации продовольственных товаров.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товаропроизводитель (перерабатывающее предприятие, оптовый поставщик (дистрибьютор), специализирующийся на реализации продовольственных товаров) признается финансово устойчивым, если он соответствует в совокупности по условиям по отсутствию просроченной задолжности по налогам и другим обязательным платежам в бюджет, обязательным пенсионным взносам в единый накопительный пенсионный фонд, а также по кредитам (займам), предоставленным банкам второго уровня, организациями, осуществляющими отдельные виды банковских операций, и неисполненных обязательств перед специализированной организацией, а также неисполненных обязательств по исполнительным документам, ограничений и обременений на имущество субъекта предпринимательства.".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