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ed5e" w14:textId="e16e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23/282 "Об утверждении регламента собрания местного сообщества сельского округа Даулет"</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19 ноября 2025 года № 36/199</w:t>
      </w:r>
    </w:p>
    <w:p>
      <w:pPr>
        <w:spacing w:after="0"/>
        <w:ind w:left="0"/>
        <w:jc w:val="both"/>
      </w:pPr>
      <w:bookmarkStart w:name="z2" w:id="0"/>
      <w:r>
        <w:rPr>
          <w:rFonts w:ascii="Times New Roman"/>
          <w:b w:val="false"/>
          <w:i w:val="false"/>
          <w:color w:val="000000"/>
          <w:sz w:val="28"/>
        </w:rPr>
        <w:t>
      Мунайлинский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Мунайлинского районного маслихата от 25 мая 2018 года № 23/282 "Об утверждении регламента собрания местного сообщества сельского округа Даулет" (зарегистрировано в Реестре государственной регистрации нормативных правовых актов за № 3656)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Мунайлинского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19 ноября 2025 года № 36/199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23/282</w:t>
            </w:r>
          </w:p>
        </w:tc>
      </w:tr>
    </w:tbl>
    <w:bookmarkStart w:name="z7" w:id="3"/>
    <w:p>
      <w:pPr>
        <w:spacing w:after="0"/>
        <w:ind w:left="0"/>
        <w:jc w:val="left"/>
      </w:pPr>
      <w:r>
        <w:rPr>
          <w:rFonts w:ascii="Times New Roman"/>
          <w:b/>
          <w:i w:val="false"/>
          <w:color w:val="000000"/>
        </w:rPr>
        <w:t xml:space="preserve"> Регламент собрания местного сообщества сельского округа Даулет</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Даулет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0"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Даулет,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Даулет,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Даулет;</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7"/>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(далее-районный маслихат)</w:t>
      </w:r>
    </w:p>
    <w:bookmarkEnd w:id="7"/>
    <w:bookmarkStart w:name="z12"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Даулет:</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4" w:id="1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0"/>
    <w:bookmarkStart w:name="z15"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6"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Даулет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3"/>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5"/>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5"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w:t>
      </w:r>
    </w:p>
    <w:bookmarkStart w:name="z26"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7" w:id="2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9"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30"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1"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2"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