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dfdc" w14:textId="e4ad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26 декабря 2024 года № 25/139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13 августа 2025 года № 33/179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Мунайлинского районного маслихата от 26 декабря 2024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25/139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2025-2027 годы" (зарегистрировано в Реестре государственной регистрации нормативных правовых актов за №205310)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соответственнок настоящему решению,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21 500 175,1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12 073 253,9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87 335,0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96 740,0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9 242 846,2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22 565 043,7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2 745 699,4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–3 033 405,0 тысяч тенге;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287 705,6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- 3 810 568,0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3 810 568,0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2 538 684,0 тысячи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288 809,1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1 560 693,1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нормативы распределения доходов в районный бюджет на 2025 год в следующих размерах: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56,3 процентов;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0 процентов;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56,3 процентов.";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районный бюджет на 2025 год из республиканского бюджета и Национального фонда выделены целевые текущие трансферты, целевые трансферты на развитие и бюджетные кредиты в сумме 9 217 030,0 тысяч тенге. Порядок их использования определяется на основании постановления акимата района.";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 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21 500 175,1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12 073 253,9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6 960 733,7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2 938 765,0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4 021 968,7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2 638 525,7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2 638 525,7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1 857 220,5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1 738 780,5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9 242 846,2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22 565 043,7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4 639 559,7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436 289,1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376 042,8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4 196 865,6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210 506,8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3 721 143,2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3 648 190,2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4 302 627,0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2 929 188,0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3 621 673,1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1 233 914,2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1 203 914,2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1 279 555,7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1 279 555,7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815 794,7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286 366,7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123 462,7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2 594 325,5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1 108 890,1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943 729,4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943 729,4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943 729,4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1 806 104,9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1 795 604,9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1 614 293,9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1 614 293,9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2 745 699,4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3 033 405,0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- 3 810 568,0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 развития районного бюджета на 2025 год, направленных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