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7b12" w14:textId="4a17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критерии получения субсидий, сроков подачи заявки и формы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2025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получения субсидий, сроков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форму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 № 146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получения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сельскохозяйственных животных на соответствие условиям субсидирования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маточного поголовья в ИБСиПР и БДИСЖ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3)возраст субсидируемых животных коров и телок старше 18 месяцев, овец/коз старше 12 месяцев, лошадей старше 36 месяцев, верблюдов старше 18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сохранности маточного поголовья (за исключением зоотехнической нормы выбытия) в течении одного года с момента подачи заявки.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ИБСиПР и БДИСЖ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до 20 декабря (текущий год включительно)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БДИСЖ – база данных по идентификации сельскохозяйственных животных;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ИБСиПР – информационная база селекционной и племенной работы.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 № 146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2025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(область)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субсидий на удешевление стоимости затрат на корма маточному поголовью сельскохозяйственных животных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/сельскохозяйственного кооператива _________________________________________________________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товаропроизводителя/ сельскохозяйственного кооператива: ____________________________________________________________________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район, город/село/улица, номер дома)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земельных участках сельскохозяйственного назначения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товаропроизводителя/ сельскохозяйственного кооператива _________________________________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маточного поголовья сельскохозяйственных животных на момент подачи заявки: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месяцах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___________ тенге.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___________ тенге.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документа, подтверждающего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затраты на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