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5234" w14:textId="2b05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Сырдарьинского района от 20 мая 2022 года №164 "Об утверждении Правил организации и проведения мероприятий по текущему или капитальному ремонту фасадов, крыш многоквартирных жилых домов, направленных на придание единому архитектурному облику поселка Теренозек"</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24 июля 2025 года № 150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правовых актах" акимат Сырдарьинского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Акимату Сырдарьинского района от 20 мая 2022 года "Об утверждении Правил организации и проведения мероприятий по текущему или капитальному ремонту фасадов, крыш многоквартирных жилых домов, направленных на придание единому архитектурному облику поселка Теренозек" внести в </w:t>
      </w:r>
      <w:r>
        <w:rPr>
          <w:rFonts w:ascii="Times New Roman"/>
          <w:b w:val="false"/>
          <w:i w:val="false"/>
          <w:color w:val="000000"/>
          <w:sz w:val="28"/>
        </w:rPr>
        <w:t>постановление</w:t>
      </w:r>
      <w:r>
        <w:rPr>
          <w:rFonts w:ascii="Times New Roman"/>
          <w:b w:val="false"/>
          <w:i w:val="false"/>
          <w:color w:val="000000"/>
          <w:sz w:val="28"/>
        </w:rPr>
        <w:t xml:space="preserve"> № 164 (зарегистрировано в Реестре государственной регистрации нормативных правовых актов за № 28236)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тексте </w:t>
      </w:r>
      <w:r>
        <w:rPr>
          <w:rFonts w:ascii="Times New Roman"/>
          <w:b w:val="false"/>
          <w:i w:val="false"/>
          <w:color w:val="000000"/>
          <w:sz w:val="28"/>
        </w:rPr>
        <w:t>пункта 1</w:t>
      </w:r>
      <w:r>
        <w:rPr>
          <w:rFonts w:ascii="Times New Roman"/>
          <w:b w:val="false"/>
          <w:i w:val="false"/>
          <w:color w:val="000000"/>
          <w:sz w:val="28"/>
        </w:rPr>
        <w:t xml:space="preserve"> указанного постановления слова "фасадов, крыш" заменить словами "реконструкции наружных стен, крыш,";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0"/>
    <w:p>
      <w:pPr>
        <w:spacing w:after="0"/>
        <w:ind w:left="0"/>
        <w:jc w:val="both"/>
      </w:pPr>
      <w:r>
        <w:rPr>
          <w:rFonts w:ascii="Times New Roman"/>
          <w:b w:val="false"/>
          <w:i w:val="false"/>
          <w:color w:val="000000"/>
          <w:sz w:val="28"/>
        </w:rPr>
        <w:t>
      2. Контроль за исполнением настоящего постановления осуществляет курирующий возложить на заместителя акима района.</w:t>
      </w:r>
    </w:p>
    <w:bookmarkEnd w:id="0"/>
    <w:bookmarkStart w:name="z9"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Сырдарьинского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"24" июля 2025 года № 150</w:t>
            </w:r>
          </w:p>
        </w:tc>
      </w:tr>
    </w:tbl>
    <w:bookmarkStart w:name="z12" w:id="2"/>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наружных стен, крыш многоквартирных жилых домов, направленных на придание единому архитектурному облику поселка Теренозек</w:t>
      </w:r>
    </w:p>
    <w:bookmarkEnd w:id="2"/>
    <w:bookmarkStart w:name="z13" w:id="3"/>
    <w:p>
      <w:pPr>
        <w:spacing w:after="0"/>
        <w:ind w:left="0"/>
        <w:jc w:val="left"/>
      </w:pPr>
      <w:r>
        <w:rPr>
          <w:rFonts w:ascii="Times New Roman"/>
          <w:b/>
          <w:i w:val="false"/>
          <w:color w:val="000000"/>
        </w:rPr>
        <w:t xml:space="preserve">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наружных стен, крыш многоквартирных жилых домов (далее-Правила), направленных на придание единому архитектурному облику поселка Теренозек (далее - Закон Республики Казахстан "О жилищных отношениях") - Закон) разработан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10 - 3, иными нормативными правовыми актами и определяет порядок организации и проведения мероприятий по текущему или капитальному ремонту наружных стен, крыш многоквартирных жилых домов, направленных на придание единому архитектурному облику поселка Теренозек.</w:t>
      </w:r>
    </w:p>
    <w:bookmarkStart w:name="z15"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6"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характерных для определенного района застройки территории, в том числе индивидуального застройки. Основными критериями являются внешний вид, архитектурный стиль, цветовое решение, этажность, отделочные материалы. Основными критериями для индивидуального района застройки являются внешний вид, архитектурный стиль, цветовое решение, этажность, отделочные материалы, ограждения, тип покрытия и расположение хозяйственно-бытовых сооружений на территории участка;</w:t>
      </w:r>
    </w:p>
    <w:bookmarkEnd w:id="5"/>
    <w:bookmarkStart w:name="z17" w:id="6"/>
    <w:p>
      <w:pPr>
        <w:spacing w:after="0"/>
        <w:ind w:left="0"/>
        <w:jc w:val="both"/>
      </w:pPr>
      <w:r>
        <w:rPr>
          <w:rFonts w:ascii="Times New Roman"/>
          <w:b w:val="false"/>
          <w:i w:val="false"/>
          <w:color w:val="000000"/>
          <w:sz w:val="28"/>
        </w:rPr>
        <w:t>
      2) объект кондоминиума – единый неделимый земельный участок и (или) приусадебный земельный участок, на котором проживает многоквартирный жилой дом, собственникам квартир, нежилых помещений, парковок, складов и квартир, нежилых помещений, парковок, складов, находящихся в индивидуальной (раздельной) собственности единый имущественный комплекс, состоящий из общего имущества, принадлежащего на праве общей долевой собственности, включая;</w:t>
      </w:r>
    </w:p>
    <w:bookmarkEnd w:id="6"/>
    <w:bookmarkStart w:name="z18"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чердаки, чердаки, технические этажи, подвалы, дома), кроме квартир, нежилых помещений, стоянок, складов и телекоммуникационного оборудования, являющегося собственностью операторов сотовой связи, находящихся в индивидуальной (раздельной) собственности земельные участки и (или) приусадебные участки, на которых стоят общие инженерные системы и оборудование, абонентские почтовые ящики, многоквартирный жилой дом, элементы благоустройства и другое имущество общего пользования);</w:t>
      </w:r>
    </w:p>
    <w:bookmarkEnd w:id="7"/>
    <w:bookmarkStart w:name="z19"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установленных нормативной и технической документацией составных частей и инженерного оборудования многоквартирного жилого дома, проводимых в целях предотвращения преждевременного износа и устранения дефектов;</w:t>
      </w:r>
    </w:p>
    <w:bookmarkEnd w:id="8"/>
    <w:bookmarkStart w:name="z20" w:id="9"/>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проводимый в целях восстановления ресурса многоквартирного жилого дома;</w:t>
      </w:r>
    </w:p>
    <w:bookmarkEnd w:id="9"/>
    <w:bookmarkStart w:name="z21" w:id="10"/>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0"/>
    <w:bookmarkStart w:name="z22" w:id="11"/>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являющегося общей долевой собственностью, и двух и более квартир, нежилых помещений с самостоятельным выходом на земельный участок, прилегающий к многоквартирному жилому дому, либо иных частей общего имущества объекта кондоминиума;</w:t>
      </w:r>
    </w:p>
    <w:bookmarkEnd w:id="11"/>
    <w:bookmarkStart w:name="z23" w:id="12"/>
    <w:p>
      <w:pPr>
        <w:spacing w:after="0"/>
        <w:ind w:left="0"/>
        <w:jc w:val="both"/>
      </w:pPr>
      <w:r>
        <w:rPr>
          <w:rFonts w:ascii="Times New Roman"/>
          <w:b w:val="false"/>
          <w:i w:val="false"/>
          <w:color w:val="000000"/>
          <w:sz w:val="28"/>
        </w:rPr>
        <w:t>
      8) многоквартирный жилой кондоминиум (далее–кондоминиум) – зарегистрированная форма собственности в порядке, определенном законодательством Республики Казахстан, при этом квартиры, нежилые помещения, парковочные места, склады находятся в индивидуальной (раздельной) собственности, а части, не находящиеся в единичной (раздельной) собственности квартир, нежилых помещений, стоянок собственникам помещений, складов принадлежит на праве общей долевой собственности, включая единый неделимый земельный участок и (или) приусадебный земельный участок, на котором стоит многоквартирный жилой дом;</w:t>
      </w:r>
    </w:p>
    <w:bookmarkEnd w:id="12"/>
    <w:bookmarkStart w:name="z24" w:id="13"/>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дома–далее-собрание)- высший орган управления объектом кондоминиума, обеспечивающий коллективное обсуждение и принятие голосованием собственниками квартир, нежилых помещений решений, связанных с управлением объектом кондоминиума и содержанием общего имущества объекта кондоминиума;</w:t>
      </w:r>
    </w:p>
    <w:bookmarkEnd w:id="13"/>
    <w:bookmarkStart w:name="z25" w:id="14"/>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крыш многоквартирных жилых домов</w:t>
      </w:r>
    </w:p>
    <w:bookmarkEnd w:id="14"/>
    <w:bookmarkStart w:name="z26" w:id="15"/>
    <w:p>
      <w:pPr>
        <w:spacing w:after="0"/>
        <w:ind w:left="0"/>
        <w:jc w:val="both"/>
      </w:pPr>
      <w:r>
        <w:rPr>
          <w:rFonts w:ascii="Times New Roman"/>
          <w:b w:val="false"/>
          <w:i w:val="false"/>
          <w:color w:val="000000"/>
          <w:sz w:val="28"/>
        </w:rPr>
        <w:t>
      3. коммунальное государственное учреждение "Отдел жилищно-коммунального хозяйства, пассажирского транспорта и автомобильных дорог Сырдарьинского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крыш для придания поселку единого архитектурного облика.</w:t>
      </w:r>
    </w:p>
    <w:bookmarkEnd w:id="15"/>
    <w:bookmarkStart w:name="z27" w:id="16"/>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Сырдарьинского района" обеспечивает разработку и утверждение единого архитектурного образа после определения перечня многоквартирных жилых домов, указанных в пункте 3 Правил.</w:t>
      </w:r>
    </w:p>
    <w:bookmarkEnd w:id="16"/>
    <w:bookmarkStart w:name="z28" w:id="17"/>
    <w:p>
      <w:pPr>
        <w:spacing w:after="0"/>
        <w:ind w:left="0"/>
        <w:jc w:val="both"/>
      </w:pPr>
      <w:r>
        <w:rPr>
          <w:rFonts w:ascii="Times New Roman"/>
          <w:b w:val="false"/>
          <w:i w:val="false"/>
          <w:color w:val="000000"/>
          <w:sz w:val="28"/>
        </w:rPr>
        <w:t>
      5. акимат Сырдарьинского района организует следующие работы:</w:t>
      </w:r>
    </w:p>
    <w:bookmarkEnd w:id="17"/>
    <w:bookmarkStart w:name="z29" w:id="18"/>
    <w:p>
      <w:pPr>
        <w:spacing w:after="0"/>
        <w:ind w:left="0"/>
        <w:jc w:val="both"/>
      </w:pPr>
      <w:r>
        <w:rPr>
          <w:rFonts w:ascii="Times New Roman"/>
          <w:b w:val="false"/>
          <w:i w:val="false"/>
          <w:color w:val="000000"/>
          <w:sz w:val="28"/>
        </w:rPr>
        <w:t>
      1) ознакомление собственников квартир, нежилых помещений многоквартирного жилого дома (при их наличии) с проектом единого архитектурного облика района на официальном интернет-ресурсе акимата;</w:t>
      </w:r>
    </w:p>
    <w:bookmarkEnd w:id="18"/>
    <w:bookmarkStart w:name="z30" w:id="19"/>
    <w:p>
      <w:pPr>
        <w:spacing w:after="0"/>
        <w:ind w:left="0"/>
        <w:jc w:val="both"/>
      </w:pPr>
      <w:r>
        <w:rPr>
          <w:rFonts w:ascii="Times New Roman"/>
          <w:b w:val="false"/>
          <w:i w:val="false"/>
          <w:color w:val="000000"/>
          <w:sz w:val="28"/>
        </w:rPr>
        <w:t>
      2) информирование собственников квартир и нежилых помещений многоквартирного жилого дома (при их наличии) о планируемых работах и предполагаемых сроках их проведения;</w:t>
      </w:r>
    </w:p>
    <w:bookmarkEnd w:id="19"/>
    <w:bookmarkStart w:name="z31" w:id="20"/>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наличии) для принятия решения о согласовании или несогласии с проведением работ по реконструкции, текущему или капитальному ремонту наружных стен, крыш многоквартирного жилого дома.</w:t>
      </w:r>
    </w:p>
    <w:bookmarkEnd w:id="20"/>
    <w:bookmarkStart w:name="z32" w:id="21"/>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1"/>
    <w:bookmarkStart w:name="z33"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крыши многоквартирного жилого дома, направленные на придание единого архитектурного облика, не проводятся.</w:t>
      </w:r>
    </w:p>
    <w:bookmarkEnd w:id="22"/>
    <w:bookmarkStart w:name="z34" w:id="23"/>
    <w:p>
      <w:pPr>
        <w:spacing w:after="0"/>
        <w:ind w:left="0"/>
        <w:jc w:val="both"/>
      </w:pPr>
      <w:r>
        <w:rPr>
          <w:rFonts w:ascii="Times New Roman"/>
          <w:b w:val="false"/>
          <w:i w:val="false"/>
          <w:color w:val="000000"/>
          <w:sz w:val="28"/>
        </w:rPr>
        <w:t>
      8. при принятии собранием положительного решения отдел организует проверку технического состояния наружных стен, кровель каждого многоквартирного жилого дома для определения объема работ, типа ремонта (текущего или капитального) и установления степени их физического износа в соответствии с требованиями строительных норм.</w:t>
      </w:r>
    </w:p>
    <w:bookmarkEnd w:id="23"/>
    <w:bookmarkStart w:name="z35" w:id="24"/>
    <w:p>
      <w:pPr>
        <w:spacing w:after="0"/>
        <w:ind w:left="0"/>
        <w:jc w:val="left"/>
      </w:pPr>
      <w:r>
        <w:rPr>
          <w:rFonts w:ascii="Times New Roman"/>
          <w:b/>
          <w:i w:val="false"/>
          <w:color w:val="000000"/>
        </w:rPr>
        <w:t xml:space="preserve"> 3. Порядок проведения мероприятий по реконструкции, текущему или капитальному ремонту наружных стен, крыш многоквартирных жилых домов</w:t>
      </w:r>
    </w:p>
    <w:bookmarkEnd w:id="24"/>
    <w:bookmarkStart w:name="z36" w:id="2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крыш каждого многоквартирного жилого дома для определения объема работ, типа ремонта (текущего или капитального) осуществляется в соответствии с законодательством о государственных закупках с привлечением собственников квартир, нежилых помещений.</w:t>
      </w:r>
    </w:p>
    <w:bookmarkEnd w:id="25"/>
    <w:bookmarkStart w:name="z37" w:id="26"/>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кровель многоквартирного жилого дома отдел организует работу по разработке сметного расчета текущего ремонта или подготовке проектно - сметной документации на капитальный ремонт фасада, крыши, направленной на придание единого архитектурного облика, с последующим получением экспертного заключения за счет средств местного бюджета.</w:t>
      </w:r>
    </w:p>
    <w:bookmarkEnd w:id="26"/>
    <w:bookmarkStart w:name="z38" w:id="27"/>
    <w:p>
      <w:pPr>
        <w:spacing w:after="0"/>
        <w:ind w:left="0"/>
        <w:jc w:val="both"/>
      </w:pPr>
      <w:r>
        <w:rPr>
          <w:rFonts w:ascii="Times New Roman"/>
          <w:b w:val="false"/>
          <w:i w:val="false"/>
          <w:color w:val="000000"/>
          <w:sz w:val="28"/>
        </w:rPr>
        <w:t>
      11. после утверждения положительного заключения экспертизы и сметной стоимости текущего ремонта или проектно - сметной документации на реконструкцию, текущий или капитальный ремонт наружных стен, крыш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7"/>
    <w:bookmarkStart w:name="z39" w:id="28"/>
    <w:p>
      <w:pPr>
        <w:spacing w:after="0"/>
        <w:ind w:left="0"/>
        <w:jc w:val="both"/>
      </w:pPr>
      <w:r>
        <w:rPr>
          <w:rFonts w:ascii="Times New Roman"/>
          <w:b w:val="false"/>
          <w:i w:val="false"/>
          <w:color w:val="000000"/>
          <w:sz w:val="28"/>
        </w:rPr>
        <w:t>
      12. закуп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8"/>
    <w:bookmarkStart w:name="z40" w:id="29"/>
    <w:p>
      <w:pPr>
        <w:spacing w:after="0"/>
        <w:ind w:left="0"/>
        <w:jc w:val="both"/>
      </w:pPr>
      <w:r>
        <w:rPr>
          <w:rFonts w:ascii="Times New Roman"/>
          <w:b w:val="false"/>
          <w:i w:val="false"/>
          <w:color w:val="000000"/>
          <w:sz w:val="28"/>
        </w:rPr>
        <w:t>
      13. Прием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авторским надзором, техническим надзором, а также отделом с привлечением совета дома, председателя объединения собственников имущества или доверенных лиц простого товарищества.</w:t>
      </w:r>
    </w:p>
    <w:bookmarkEnd w:id="29"/>
    <w:bookmarkStart w:name="z41" w:id="30"/>
    <w:p>
      <w:pPr>
        <w:spacing w:after="0"/>
        <w:ind w:left="0"/>
        <w:jc w:val="left"/>
      </w:pPr>
      <w:r>
        <w:rPr>
          <w:rFonts w:ascii="Times New Roman"/>
          <w:b/>
          <w:i w:val="false"/>
          <w:color w:val="000000"/>
        </w:rPr>
        <w:t xml:space="preserve"> 4. Заключительное положение</w:t>
      </w:r>
    </w:p>
    <w:bookmarkEnd w:id="30"/>
    <w:bookmarkStart w:name="z42" w:id="3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крыш многоквартирных жилых домов, направленных на придание единому архитектурному облику поселка Теренозек, осуществляется из средств местного бюджета.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